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宋体" w:hAnsi="宋体"/>
          <w:b/>
          <w:bCs/>
          <w:sz w:val="52"/>
          <w:szCs w:val="52"/>
        </w:rPr>
      </w:pPr>
      <w:r>
        <w:rPr>
          <w:rFonts w:ascii="宋体" w:hAnsi="宋体"/>
          <w:b/>
          <w:bCs/>
          <w:sz w:val="52"/>
          <w:szCs w:val="52"/>
        </w:rPr>
        <w:t>202</w:t>
      </w:r>
      <w:r>
        <w:rPr>
          <w:rFonts w:hint="eastAsia" w:ascii="宋体" w:hAnsi="宋体"/>
          <w:b/>
          <w:bCs/>
          <w:sz w:val="52"/>
          <w:szCs w:val="52"/>
          <w:lang w:val="en-US" w:eastAsia="zh-CN"/>
        </w:rPr>
        <w:t>4</w:t>
      </w:r>
      <w:r>
        <w:rPr>
          <w:rFonts w:hint="eastAsia" w:ascii="宋体" w:hAnsi="宋体"/>
          <w:b/>
          <w:bCs/>
          <w:sz w:val="52"/>
          <w:szCs w:val="52"/>
        </w:rPr>
        <w:t>年度赤峰市水利局(本级）</w:t>
      </w:r>
    </w:p>
    <w:p>
      <w:pPr>
        <w:pStyle w:val="23"/>
        <w:jc w:val="center"/>
        <w:rPr>
          <w:rFonts w:hint="default" w:eastAsia="宋体"/>
          <w:lang w:val="en-US" w:eastAsia="zh-CN"/>
        </w:rPr>
      </w:pPr>
      <w:r>
        <w:rPr>
          <w:rFonts w:hint="eastAsia"/>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beforeLines="0" w:after="120" w:afterLines="0"/>
        <w:ind w:left="420" w:firstLine="420"/>
        <w:jc w:val="both"/>
        <w:rPr>
          <w:rFonts w:hint="eastAsia" w:ascii="Times New Roman" w:hAnsi="Times New Roman" w:eastAsia="Times New Roman"/>
          <w:color w:val="auto"/>
          <w:kern w:val="2"/>
          <w:sz w:val="21"/>
          <w:szCs w:val="24"/>
        </w:rPr>
      </w:pPr>
    </w:p>
    <w:p>
      <w:pPr>
        <w:spacing w:beforeLines="0" w:afterLines="0" w:line="600" w:lineRule="exact"/>
        <w:ind w:firstLine="640"/>
        <w:jc w:val="center"/>
        <w:rPr>
          <w:rFonts w:hint="eastAsia" w:ascii="Times New Roman" w:hAnsi="Times New Roman" w:eastAsia="Times New Roman"/>
          <w:color w:val="auto"/>
          <w:kern w:val="2"/>
          <w:sz w:val="21"/>
          <w:szCs w:val="24"/>
        </w:rPr>
      </w:pPr>
      <w:r>
        <w:rPr>
          <w:rFonts w:hint="eastAsia" w:ascii="黑体" w:hAnsi="黑体" w:eastAsia="黑体"/>
          <w:color w:val="auto"/>
          <w:kern w:val="2"/>
          <w:sz w:val="32"/>
          <w:szCs w:val="24"/>
        </w:rPr>
        <w:t>批复时间：</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single"/>
          <w:lang w:val="en-US" w:eastAsia="zh-CN"/>
        </w:rPr>
        <w:t>2025</w:t>
      </w:r>
      <w:r>
        <w:rPr>
          <w:rFonts w:hint="eastAsia" w:ascii="黑体" w:hAnsi="黑体" w:eastAsia="黑体"/>
          <w:color w:val="auto"/>
          <w:kern w:val="2"/>
          <w:sz w:val="32"/>
          <w:szCs w:val="24"/>
          <w:u w:val="single"/>
        </w:rPr>
        <w:t xml:space="preserve">年 </w:t>
      </w:r>
      <w:r>
        <w:rPr>
          <w:rFonts w:hint="eastAsia" w:ascii="黑体" w:hAnsi="黑体" w:eastAsia="黑体"/>
          <w:color w:val="auto"/>
          <w:kern w:val="2"/>
          <w:sz w:val="32"/>
          <w:szCs w:val="24"/>
          <w:u w:val="single"/>
          <w:lang w:val="en-US" w:eastAsia="zh-CN"/>
        </w:rPr>
        <w:t>7</w:t>
      </w:r>
      <w:r>
        <w:rPr>
          <w:rFonts w:hint="eastAsia" w:ascii="黑体" w:hAnsi="黑体" w:eastAsia="黑体"/>
          <w:color w:val="auto"/>
          <w:kern w:val="2"/>
          <w:sz w:val="32"/>
          <w:szCs w:val="24"/>
          <w:u w:val="single"/>
        </w:rPr>
        <w:t xml:space="preserve"> 月 </w:t>
      </w:r>
      <w:r>
        <w:rPr>
          <w:rFonts w:hint="eastAsia" w:ascii="黑体" w:hAnsi="黑体" w:eastAsia="黑体"/>
          <w:color w:val="auto"/>
          <w:kern w:val="2"/>
          <w:sz w:val="32"/>
          <w:szCs w:val="24"/>
          <w:u w:val="single"/>
          <w:lang w:val="en-US" w:eastAsia="zh-CN"/>
        </w:rPr>
        <w:t>1</w:t>
      </w:r>
      <w:r>
        <w:rPr>
          <w:rFonts w:hint="eastAsia" w:ascii="黑体" w:hAnsi="黑体" w:eastAsia="黑体"/>
          <w:color w:val="auto"/>
          <w:kern w:val="2"/>
          <w:sz w:val="32"/>
          <w:szCs w:val="24"/>
          <w:u w:val="single"/>
        </w:rPr>
        <w:t>日</w:t>
      </w:r>
    </w:p>
    <w:p>
      <w:pPr>
        <w:spacing w:beforeLines="0" w:afterLines="0" w:line="600" w:lineRule="exact"/>
        <w:ind w:firstLine="640"/>
        <w:jc w:val="center"/>
        <w:rPr>
          <w:rFonts w:hint="eastAsia" w:ascii="Times New Roman" w:hAnsi="Times New Roman" w:eastAsia="Times New Roman"/>
          <w:color w:val="auto"/>
          <w:kern w:val="2"/>
          <w:sz w:val="21"/>
          <w:szCs w:val="24"/>
        </w:rPr>
      </w:pPr>
      <w:r>
        <w:rPr>
          <w:rFonts w:hint="eastAsia" w:ascii="黑体" w:hAnsi="黑体" w:eastAsia="黑体"/>
          <w:color w:val="auto"/>
          <w:kern w:val="2"/>
          <w:sz w:val="32"/>
          <w:szCs w:val="24"/>
        </w:rPr>
        <w:t>公开时间：</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single"/>
          <w:lang w:val="en-US" w:eastAsia="zh-CN"/>
        </w:rPr>
        <w:t>2025</w:t>
      </w:r>
      <w:r>
        <w:rPr>
          <w:rFonts w:hint="eastAsia" w:ascii="黑体" w:hAnsi="黑体" w:eastAsia="黑体"/>
          <w:color w:val="auto"/>
          <w:kern w:val="2"/>
          <w:sz w:val="32"/>
          <w:szCs w:val="24"/>
          <w:u w:val="single"/>
        </w:rPr>
        <w:t>年</w:t>
      </w:r>
      <w:r>
        <w:rPr>
          <w:rFonts w:hint="eastAsia" w:ascii="黑体" w:hAnsi="黑体" w:eastAsia="黑体"/>
          <w:color w:val="auto"/>
          <w:kern w:val="2"/>
          <w:sz w:val="32"/>
          <w:szCs w:val="24"/>
          <w:u w:val="single"/>
          <w:lang w:val="en-US" w:eastAsia="zh-CN"/>
        </w:rPr>
        <w:t>7</w:t>
      </w:r>
      <w:r>
        <w:rPr>
          <w:rFonts w:hint="eastAsia" w:ascii="黑体" w:hAnsi="黑体" w:eastAsia="黑体"/>
          <w:color w:val="auto"/>
          <w:kern w:val="2"/>
          <w:sz w:val="32"/>
          <w:szCs w:val="24"/>
          <w:u w:val="single"/>
        </w:rPr>
        <w:t xml:space="preserve">月 </w:t>
      </w:r>
      <w:r>
        <w:rPr>
          <w:rFonts w:hint="eastAsia" w:ascii="黑体" w:hAnsi="黑体" w:eastAsia="黑体"/>
          <w:color w:val="auto"/>
          <w:kern w:val="2"/>
          <w:sz w:val="32"/>
          <w:szCs w:val="24"/>
          <w:u w:val="single"/>
          <w:lang w:val="en-US" w:eastAsia="zh-CN"/>
        </w:rPr>
        <w:t>18</w:t>
      </w:r>
      <w:r>
        <w:rPr>
          <w:rFonts w:hint="eastAsia" w:ascii="黑体" w:hAnsi="黑体" w:eastAsia="黑体"/>
          <w:color w:val="auto"/>
          <w:kern w:val="2"/>
          <w:sz w:val="32"/>
          <w:szCs w:val="24"/>
          <w:u w:val="single"/>
        </w:rPr>
        <w:t>日</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8"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二、单位机构设置及决算单位构成情况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w:t>
      </w:r>
      <w:r>
        <w:rPr>
          <w:rFonts w:hint="eastAsia" w:ascii="times_new_roman" w:hAnsi="times_new_roman" w:eastAsia="宋体" w:cs="times_new_roman"/>
          <w:kern w:val="0"/>
          <w:sz w:val="27"/>
          <w:szCs w:val="27"/>
          <w:lang w:val="en-US" w:eastAsia="zh-CN"/>
        </w:rPr>
        <w:t>4</w:t>
      </w:r>
      <w:r>
        <w:rPr>
          <w:rFonts w:ascii="fang_song_gb2312" w:hAnsi="fang_song_gb2312" w:eastAsia="fang_song_gb2312" w:cs="fang_song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（一）坚持把铸牢中华民族共同体意识作为水利工作的主线，贯穿于水资源管理、水利建设、水土保持、水灾害防治、水环境治理及自身建设等全过程各方面。</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（二）负责保障水资源的合理开发利用。拟订全市水利规划和政策，起草有关地方性法规、规章草案，组织编制全市水资源规划、重要河流湖泊流域综合规划、防洪规划等重大水利规划。</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三）负责生活、生产经营和生态环镜用水的统筹和保障。组织实施最严格的水资源管理制度，实施水资源的统一监督管理拟订全市水中长期供求规划、水量分配方案并监督实施。负责全市重要流域、区域以及重大调水工程的水资源调度。组织实施取水许可、水资源论证和防洪论证制度，指导开展水资源有偿使用工作。指导水利行业供水和苏木乡镇供水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（四）按规定制定水利工程建设有关制度并组织实施，负责提出全市水利基本建设投资和有关财政性资金安排建议，负责项目实施和资金使用的监督管理。按规定权限审批、核准规划内和年度计划规模内项目。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五）指导水资源保护工作。组织编制并指导实施水资源保护规划。指导全市地下水开发利用和地下水资源管理保护，组织指导地下水超采区综合治理。指导全市对河湖库和地下水实施监测，按规定组织开展水资源水能资源调查评价和水资源承载能力监测预警工作，组织发布全市水资源公报。</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（六）负责节约用水工作。拟订节约用水政策，组织编制节约用水规划并监督实施，组织拟订有关标准。组织实施用水总量控制等管理制度，指导和推动节水型社会建设工作。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七）指导水利设施、水域及其岸线的管理、保护与综合利用。组织指导全市水利基础设施网络建设。指导全市重要河流湖泊的治理、开发和保护。指导全市河湖水生态保护与修复河湖生态流量水量管理以及河湖水系连通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（八）指导监督水利工程建设与运行管理。组织实施全市具有控制性和跨区域跨流域的重要水利工程建设与运行管理，指导水利建设市场的监督管理。指导监督水利工程建设并按规定权限组织有关工程的验收。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九）协调指导水旱灾害防御工作。负责落实综合防灾减灾规划相关要求，组织编制洪水干旱灾害防治规划和防护标准并指导实施。承担水情旱情监测预警工作。组织编制重要河流湖泊和重要水工程的防御洪水抗御旱灾调度和应急水量调度方案，按程序报批并组织实施。承担防御洪水应急抢险的技术支撑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（十）负责水土保持工作。拟订水土保持规划并监督实施，组织实施水土流失的综合防治、监测预报并定期公告。负责市本级立项的建设项目水土保持监督管理工作。组织实施重点水土保持建设项目。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（十一）指导农村牧区水利工作，组织开展大中型灌排工程建设与改造。组织指导农村牧区饮水安全工程建设管理工作，指导节水灌溉有关工作。指导农村牧区水能资源开发、小水电改造和水电农村电气化工作。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（十二）负责重大涉水违法事件的查处，协调、仲裁跨旗县区水事纠纷，组织指导水政监察和水行政执法。依法负责水利工程建设、水利设施运行安全生产和安全监管。</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（十三）开展水利科技工作，组织开展全市水利科技项目攻关和科技成果应用推广工作。组织开展水利行业质量监督工作。承担水利统计工作。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（十四）完成市委、市政府交办的其他任务。</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五）职能转变。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在履行职责过程中统筹发展和安全，有效防范化解各类风险挑战，实现高质量发展和高水平安全的良性互动。</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tabs>
          <w:tab w:val="left" w:pos="1151"/>
        </w:tabs>
        <w:spacing w:beforeLines="0" w:afterLines="0" w:line="360" w:lineRule="auto"/>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1.根据单位职责分工，本单位内设机构包括办公室</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计划财务科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水旱灾害防御和水土保持科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运行管理监督科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河湖管理科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水利工程建设科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农牧水利科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水资源管理科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水政科</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本单位下属单位包括：</w:t>
      </w:r>
      <w:r>
        <w:rPr>
          <w:rFonts w:hint="eastAsia" w:ascii="仿宋_GB2312" w:hAnsi="仿宋_GB2312" w:eastAsia="仿宋_GB2312" w:cs="Times New Roman"/>
          <w:color w:val="auto"/>
          <w:kern w:val="2"/>
          <w:sz w:val="32"/>
          <w:szCs w:val="24"/>
          <w:lang w:val="en-US" w:eastAsia="zh-CN"/>
        </w:rPr>
        <w:t>赤峰市水利事业发展中心、</w:t>
      </w:r>
      <w:r>
        <w:rPr>
          <w:rFonts w:hint="eastAsia" w:ascii="仿宋_GB2312" w:hAnsi="仿宋_GB2312" w:eastAsia="仿宋_GB2312" w:cs="Times New Roman"/>
          <w:color w:val="auto"/>
          <w:kern w:val="2"/>
          <w:sz w:val="32"/>
          <w:szCs w:val="24"/>
        </w:rPr>
        <w:t>赤峰市三座店水库</w:t>
      </w:r>
      <w:r>
        <w:rPr>
          <w:rFonts w:hint="eastAsia" w:ascii="仿宋_GB2312" w:hAnsi="仿宋_GB2312" w:eastAsia="仿宋_GB2312" w:cs="Times New Roman"/>
          <w:color w:val="auto"/>
          <w:kern w:val="2"/>
          <w:sz w:val="32"/>
          <w:szCs w:val="24"/>
          <w:lang w:val="en-US" w:eastAsia="zh-CN"/>
        </w:rPr>
        <w:t>管护中心、赤峰市水资源保护和水利工程质量检测中心、</w:t>
      </w:r>
      <w:r>
        <w:rPr>
          <w:rFonts w:hint="eastAsia" w:ascii="仿宋_GB2312" w:hAnsi="仿宋_GB2312" w:eastAsia="仿宋_GB2312" w:cs="Times New Roman"/>
          <w:color w:val="auto"/>
          <w:kern w:val="2"/>
          <w:sz w:val="32"/>
          <w:szCs w:val="24"/>
        </w:rPr>
        <w:t>赤峰市</w:t>
      </w:r>
      <w:r>
        <w:rPr>
          <w:rFonts w:hint="eastAsia" w:ascii="仿宋_GB2312" w:hAnsi="仿宋_GB2312" w:eastAsia="仿宋_GB2312" w:cs="Times New Roman"/>
          <w:color w:val="auto"/>
          <w:kern w:val="2"/>
          <w:sz w:val="32"/>
          <w:szCs w:val="24"/>
          <w:lang w:val="en-US" w:eastAsia="zh-CN"/>
        </w:rPr>
        <w:t>水旱灾害防御技术中心</w:t>
      </w:r>
      <w:r>
        <w:rPr>
          <w:rFonts w:hint="eastAsia" w:ascii="仿宋_GB2312" w:hAnsi="仿宋_GB2312" w:eastAsia="仿宋_GB2312" w:cs="Times New Roman"/>
          <w:color w:val="auto"/>
          <w:kern w:val="2"/>
          <w:sz w:val="32"/>
          <w:szCs w:val="24"/>
        </w:rPr>
        <w:t>。</w:t>
      </w:r>
    </w:p>
    <w:p>
      <w:pPr>
        <w:spacing w:beforeLines="0" w:afterLines="0" w:line="360" w:lineRule="auto"/>
        <w:ind w:firstLine="640"/>
        <w:jc w:val="both"/>
        <w:rPr>
          <w:rFonts w:hint="eastAsia" w:ascii="Times New Roman" w:hAnsi="Times New Roman" w:eastAsia="Times New Roman"/>
          <w:color w:val="auto"/>
          <w:kern w:val="2"/>
          <w:sz w:val="32"/>
          <w:szCs w:val="24"/>
        </w:rPr>
      </w:pPr>
      <w:r>
        <w:rPr>
          <w:rFonts w:ascii="times_new_roman" w:hAnsi="times_new_roman" w:eastAsia="times_new_roman" w:cs="times_new_roman"/>
          <w:kern w:val="0"/>
          <w:sz w:val="27"/>
          <w:szCs w:val="27"/>
        </w:rPr>
        <w:t> </w:t>
      </w:r>
      <w:r>
        <w:rPr>
          <w:rFonts w:hint="eastAsia"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从决算单位构成看，纳入本部门202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rPr>
        <w:t>年部门汇总决算编制范围的预算单位共计</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rPr>
        <w:t>家，</w:t>
      </w:r>
      <w:r>
        <w:rPr>
          <w:rFonts w:hint="eastAsia" w:ascii="仿宋_GB2312" w:hAnsi="仿宋_GB2312" w:eastAsia="仿宋_GB2312"/>
          <w:color w:val="auto"/>
          <w:kern w:val="2"/>
          <w:sz w:val="32"/>
          <w:szCs w:val="24"/>
          <w:lang w:val="en-US" w:eastAsia="zh-CN"/>
        </w:rPr>
        <w:t>包括赤峰市水利局（本级）及二级单位4家，</w:t>
      </w:r>
      <w:r>
        <w:rPr>
          <w:rFonts w:hint="eastAsia" w:ascii="仿宋_GB2312" w:hAnsi="仿宋_GB2312" w:eastAsia="仿宋_GB2312"/>
          <w:color w:val="auto"/>
          <w:kern w:val="2"/>
          <w:sz w:val="32"/>
          <w:szCs w:val="24"/>
        </w:rPr>
        <w:t>详细情况见表：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4111"/>
        <w:gridCol w:w="368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序号</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单位名称</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单位性质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1</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赤峰市水利局</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财政拔款的行政单位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2</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lang w:val="en-US" w:eastAsia="zh-CN"/>
              </w:rPr>
              <w:t>赤峰市水利事业发展中心</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32"/>
                <w:szCs w:val="24"/>
              </w:rPr>
              <w:t>全额拔款事业单位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3</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rPr>
              <w:t>赤峰市三座店水库</w:t>
            </w:r>
            <w:r>
              <w:rPr>
                <w:rFonts w:hint="eastAsia" w:ascii="仿宋_GB2312" w:hAnsi="Times New Roman" w:eastAsia="仿宋_GB2312" w:cs="Times New Roman"/>
                <w:color w:val="auto"/>
                <w:sz w:val="28"/>
                <w:szCs w:val="24"/>
                <w:lang w:val="en-US" w:eastAsia="zh-CN"/>
              </w:rPr>
              <w:t>管护中心</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32"/>
                <w:szCs w:val="24"/>
              </w:rPr>
              <w:t>全额拔款事业单位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4</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赤峰市水资源保护和水利工程质量检测中心</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参照公务员管理的事业单位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5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5</w:t>
            </w:r>
          </w:p>
        </w:tc>
        <w:tc>
          <w:tcPr>
            <w:tcW w:w="411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rPr>
              <w:t>赤峰市</w:t>
            </w:r>
            <w:r>
              <w:rPr>
                <w:rFonts w:hint="eastAsia" w:ascii="仿宋_GB2312" w:hAnsi="Times New Roman" w:eastAsia="仿宋_GB2312" w:cs="Times New Roman"/>
                <w:color w:val="auto"/>
                <w:sz w:val="28"/>
                <w:szCs w:val="24"/>
                <w:lang w:val="en-US" w:eastAsia="zh-CN"/>
              </w:rPr>
              <w:t>水旱灾害防御技术中心</w:t>
            </w:r>
          </w:p>
        </w:tc>
        <w:tc>
          <w:tcPr>
            <w:tcW w:w="368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参照公务员管理的事业单位</w:t>
            </w:r>
          </w:p>
        </w:tc>
      </w:tr>
    </w:tbl>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w:t>
      </w:r>
      <w:r>
        <w:rPr>
          <w:rFonts w:hint="eastAsia" w:ascii="黑体" w:hAnsi="黑体" w:eastAsia="黑体" w:cs="黑体"/>
          <w:b/>
          <w:bCs/>
          <w:kern w:val="0"/>
          <w:sz w:val="27"/>
          <w:szCs w:val="27"/>
          <w:lang w:val="en-US" w:eastAsia="zh-CN"/>
        </w:rPr>
        <w:t>4</w:t>
      </w:r>
      <w:r>
        <w:rPr>
          <w:rFonts w:ascii="黑体" w:hAnsi="黑体" w:eastAsia="黑体" w:cs="黑体"/>
          <w:b/>
          <w:bCs/>
          <w:kern w:val="0"/>
          <w:sz w:val="27"/>
          <w:szCs w:val="27"/>
        </w:rPr>
        <w:t>年度部门（单位）主要工作完成情况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27"/>
          <w:szCs w:val="27"/>
          <w:lang w:val="en-US" w:eastAsia="zh-CN" w:bidi="ar-SA"/>
        </w:rPr>
      </w:pPr>
      <w:r>
        <w:rPr>
          <w:rFonts w:hint="eastAsia" w:ascii="楷体" w:hAnsi="楷体" w:eastAsia="楷体" w:cs="楷体"/>
          <w:snapToGrid w:val="0"/>
          <w:kern w:val="0"/>
          <w:sz w:val="32"/>
          <w:szCs w:val="32"/>
          <w:lang w:val="en-US" w:eastAsia="zh-CN"/>
        </w:rPr>
        <w:t>（一）水利基础设施建设加快实施</w:t>
      </w:r>
      <w:r>
        <w:rPr>
          <w:rFonts w:hint="eastAsia" w:ascii="楷体" w:hAnsi="楷体" w:eastAsia="楷体" w:cs="楷体"/>
          <w:snapToGrid w:val="0"/>
          <w:kern w:val="0"/>
          <w:sz w:val="32"/>
          <w:szCs w:val="32"/>
        </w:rPr>
        <w:t>。</w:t>
      </w:r>
      <w:r>
        <w:rPr>
          <w:rFonts w:hint="eastAsia" w:ascii="仿宋" w:hAnsi="仿宋" w:eastAsia="仿宋" w:cs="仿宋"/>
          <w:kern w:val="0"/>
          <w:sz w:val="27"/>
          <w:szCs w:val="27"/>
          <w:lang w:val="en-US" w:eastAsia="zh-CN" w:bidi="ar-SA"/>
        </w:rPr>
        <w:t>争取国债资金5.8亿元、自治区配套资金1.4亿元，实施中小河流治理、水库水闸除险加固、大中型灌区续建配套与节水改造等项目29个，截至目前已完成投资5.19亿元，完成率72%，预计年底前完成全部投资建设任务。争取中央水利投资12.39亿元，实施了内蒙古支线工程等91个项目，截至目前已完成投资6.51亿元，完成率53%，预计年底前完成要求的90%以上投资建设任务。</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default"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重大水利项目中，一是东台子水库工程完成年度投资1.23亿元，进行了水轮发电机组安装、增殖放流站装修、围墙基础浇筑、设备安装、厂区道路基础施工、堆石坝上游面板浇筑等施工，预计年底前主体工程完工。二是内蒙古支线工程已完成年度投资5.48亿元，热水汤主洞隧道、1号支洞挖掘不断推进，管线工程累计完成清表及临时用地定界98千米、管线铺设36千米、管道沟槽45.5千米，四家子三级泵站工程主体工程完成40%，金厂沟梁高位水池工程主体基本完工，新惠事故检修水池主体工程完成40%，元宝山检修水池主体工程完成25%，预计年底前完成年度投资10亿元。三是环城水系生态修复工程顺利完工蓄水，实现了“五一”前蓄水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27"/>
          <w:szCs w:val="27"/>
          <w:lang w:val="en-US" w:eastAsia="zh-CN" w:bidi="ar-SA"/>
        </w:rPr>
      </w:pPr>
      <w:r>
        <w:rPr>
          <w:rFonts w:hint="eastAsia" w:ascii="楷体" w:hAnsi="楷体" w:eastAsia="楷体" w:cs="楷体"/>
          <w:snapToGrid w:val="0"/>
          <w:kern w:val="0"/>
          <w:sz w:val="32"/>
          <w:szCs w:val="32"/>
        </w:rPr>
        <w:t>（</w:t>
      </w:r>
      <w:r>
        <w:rPr>
          <w:rFonts w:hint="eastAsia" w:ascii="楷体" w:hAnsi="楷体" w:eastAsia="楷体" w:cs="楷体"/>
          <w:snapToGrid w:val="0"/>
          <w:kern w:val="0"/>
          <w:sz w:val="32"/>
          <w:szCs w:val="32"/>
          <w:lang w:val="en-US" w:eastAsia="zh-CN"/>
        </w:rPr>
        <w:t>二</w:t>
      </w:r>
      <w:r>
        <w:rPr>
          <w:rFonts w:hint="eastAsia" w:ascii="楷体" w:hAnsi="楷体" w:eastAsia="楷体" w:cs="楷体"/>
          <w:snapToGrid w:val="0"/>
          <w:kern w:val="0"/>
          <w:sz w:val="32"/>
          <w:szCs w:val="32"/>
        </w:rPr>
        <w:t>）水资源节约</w:t>
      </w:r>
      <w:r>
        <w:rPr>
          <w:rFonts w:hint="eastAsia" w:ascii="楷体" w:hAnsi="楷体" w:eastAsia="楷体" w:cs="楷体"/>
          <w:snapToGrid w:val="0"/>
          <w:kern w:val="0"/>
          <w:sz w:val="32"/>
          <w:szCs w:val="32"/>
          <w:lang w:val="en-US" w:eastAsia="zh-CN"/>
        </w:rPr>
        <w:t>集约利用全面推进</w:t>
      </w:r>
      <w:r>
        <w:rPr>
          <w:rFonts w:hint="eastAsia" w:ascii="楷体" w:hAnsi="楷体" w:eastAsia="楷体" w:cs="楷体"/>
          <w:snapToGrid w:val="0"/>
          <w:kern w:val="0"/>
          <w:sz w:val="32"/>
          <w:szCs w:val="32"/>
        </w:rPr>
        <w:t>。</w:t>
      </w:r>
      <w:r>
        <w:rPr>
          <w:rFonts w:hint="eastAsia" w:ascii="仿宋" w:hAnsi="仿宋" w:eastAsia="仿宋" w:cs="仿宋"/>
          <w:kern w:val="0"/>
          <w:sz w:val="27"/>
          <w:szCs w:val="27"/>
          <w:lang w:val="en-US" w:eastAsia="zh-CN" w:bidi="ar-SA"/>
        </w:rPr>
        <w:t>坚持“四水四定”原则，加强节水型社会建设，推动农业节水增效、工业节水减排、城市节水降损。编制印发了《赤峰市全社会节水行动实施方案》《赤峰市推进水资源节约集约利用总体方案》和《水资源节约集约利用“一旗（县、区）一策”（2024—2025 年）》。深入实施水资源刚性约束制度，充分发挥水资源论证和取水许可管理作用，加大取用水监督检查力度，严肃查处违法违规取用水行为。代表自治区完成了水利部最严格水资源管理制度考核工作。金通铜业等2家企业被评为自治区级节水标杆企业，中色锌业等2家企业被评为自治区级节水型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楷体" w:hAnsi="楷体" w:eastAsia="楷体" w:cs="楷体"/>
          <w:snapToGrid w:val="0"/>
          <w:kern w:val="0"/>
          <w:sz w:val="32"/>
          <w:szCs w:val="32"/>
        </w:rPr>
        <w:t>（</w:t>
      </w:r>
      <w:r>
        <w:rPr>
          <w:rFonts w:hint="eastAsia" w:ascii="楷体" w:hAnsi="楷体" w:eastAsia="楷体" w:cs="楷体"/>
          <w:snapToGrid w:val="0"/>
          <w:kern w:val="0"/>
          <w:sz w:val="32"/>
          <w:szCs w:val="32"/>
          <w:lang w:val="en-US" w:eastAsia="zh-CN"/>
        </w:rPr>
        <w:t>三</w:t>
      </w:r>
      <w:r>
        <w:rPr>
          <w:rFonts w:hint="eastAsia" w:ascii="楷体" w:hAnsi="楷体" w:eastAsia="楷体" w:cs="楷体"/>
          <w:snapToGrid w:val="0"/>
          <w:kern w:val="0"/>
          <w:sz w:val="32"/>
          <w:szCs w:val="32"/>
        </w:rPr>
        <w:t>）</w:t>
      </w:r>
      <w:r>
        <w:rPr>
          <w:rFonts w:hint="eastAsia" w:ascii="楷体" w:hAnsi="楷体" w:eastAsia="楷体" w:cs="楷体"/>
          <w:snapToGrid w:val="0"/>
          <w:kern w:val="0"/>
          <w:sz w:val="32"/>
          <w:szCs w:val="32"/>
          <w:lang w:val="en-US" w:eastAsia="zh-CN"/>
        </w:rPr>
        <w:t>农村牧区供水保障水平巩固提升</w:t>
      </w:r>
      <w:r>
        <w:rPr>
          <w:rFonts w:hint="eastAsia" w:ascii="楷体" w:hAnsi="楷体" w:eastAsia="楷体" w:cs="楷体"/>
          <w:snapToGrid w:val="0"/>
          <w:kern w:val="0"/>
          <w:sz w:val="32"/>
          <w:szCs w:val="32"/>
        </w:rPr>
        <w:t>。</w:t>
      </w:r>
      <w:r>
        <w:rPr>
          <w:rFonts w:hint="eastAsia" w:ascii="仿宋" w:hAnsi="仿宋" w:eastAsia="仿宋" w:cs="仿宋"/>
          <w:kern w:val="0"/>
          <w:sz w:val="27"/>
          <w:szCs w:val="27"/>
          <w:lang w:val="en-US" w:eastAsia="zh-CN" w:bidi="ar-SA"/>
        </w:rPr>
        <w:t>加快推进农村牧区供水工程建设，投资2558万元，新建、改造工程70处，受益农牧民13.2万人；争取补助资金1465万元，对340处工程开展了维修养护。将安全饮水工程建设纳入“民生实事”清单，建设实施农村牧区集中供水工程30处、分散式供水工程100处，截至目前已完成农村牧区集中供水工程20处、分散式供水工程100处。深入推进农业水价综合改革，新增农业水价综合改革面积 112.05 万亩，年底前圆满完成788.23万亩的改革总任务。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楷体" w:hAnsi="楷体" w:eastAsia="楷体" w:cs="楷体"/>
          <w:snapToGrid w:val="0"/>
          <w:kern w:val="0"/>
          <w:sz w:val="32"/>
          <w:szCs w:val="32"/>
        </w:rPr>
        <w:t>（四）</w:t>
      </w:r>
      <w:r>
        <w:rPr>
          <w:rFonts w:hint="eastAsia" w:ascii="楷体" w:hAnsi="楷体" w:eastAsia="楷体" w:cs="楷体"/>
          <w:snapToGrid w:val="0"/>
          <w:kern w:val="0"/>
          <w:sz w:val="32"/>
          <w:szCs w:val="32"/>
          <w:lang w:val="en-US" w:eastAsia="zh-CN"/>
        </w:rPr>
        <w:t>水生态保护治理深入推进</w:t>
      </w:r>
      <w:r>
        <w:rPr>
          <w:rFonts w:hint="eastAsia" w:ascii="楷体" w:hAnsi="楷体" w:eastAsia="楷体" w:cs="楷体"/>
          <w:snapToGrid w:val="0"/>
          <w:kern w:val="0"/>
          <w:sz w:val="32"/>
          <w:szCs w:val="32"/>
        </w:rPr>
        <w:t>。</w:t>
      </w:r>
      <w:r>
        <w:rPr>
          <w:rFonts w:hint="eastAsia" w:ascii="仿宋" w:hAnsi="仿宋" w:eastAsia="仿宋" w:cs="仿宋"/>
          <w:kern w:val="0"/>
          <w:sz w:val="27"/>
          <w:szCs w:val="27"/>
          <w:lang w:val="en-US" w:eastAsia="zh-CN" w:bidi="ar-SA"/>
        </w:rPr>
        <w:t>大力推进地下水超采综合治理，红山区、元宝山区两处地下水超采区治理成果明显。全面排查自备水源井、绿化井和灌溉机电井情况，封闭违规水源井1665眼。深入推进西辽河“量水而行”，西拉木伦河、老哈河、乌力吉木仁河、教来河共下泄水量3.31亿立方米，助力西辽河干流水头26年来首次到达通辽市城区。开展美丽幸福河湖建设，深化河湖长制工作，联合建立“河湖长+警长”协作机制、与朝阳市联合开展蒙辽边界现场复核、联合起草签订河湖长制跨省协作机制，共发现河湖问题123个，交办暗访监管督办单56件，督促清理河道垃圾5982吨。加快推进老哈河综合整治，启动编制《老哈河河道综合清理整治工作方案》，预计年底前通过审查并推进实施。持续推进水土保持工作，完成水土保持综合治理面积1193km2，投资6740万元，实施水土流失综合治理项目7个。</w:t>
      </w: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kern w:val="0"/>
          <w:sz w:val="27"/>
          <w:szCs w:val="27"/>
          <w:lang w:val="en-US" w:eastAsia="zh-CN" w:bidi="ar-SA"/>
        </w:rPr>
      </w:pPr>
      <w:r>
        <w:rPr>
          <w:rFonts w:hint="eastAsia" w:ascii="楷体" w:hAnsi="楷体" w:eastAsia="楷体" w:cs="楷体"/>
          <w:snapToGrid w:val="0"/>
          <w:kern w:val="0"/>
          <w:sz w:val="32"/>
          <w:szCs w:val="32"/>
          <w:lang w:val="en-US" w:eastAsia="zh-CN" w:bidi="ar-SA"/>
        </w:rPr>
        <w:t>（五）水旱灾害防御工作扎实开展。</w:t>
      </w:r>
      <w:r>
        <w:rPr>
          <w:rFonts w:hint="eastAsia" w:ascii="仿宋" w:hAnsi="仿宋" w:eastAsia="仿宋" w:cs="仿宋"/>
          <w:kern w:val="0"/>
          <w:sz w:val="27"/>
          <w:szCs w:val="27"/>
          <w:lang w:val="en-US" w:eastAsia="zh-CN" w:bidi="ar-SA"/>
        </w:rPr>
        <w:t>成功应对了堤防溃口事件，在最短时间内完成封堵，无人员伤亡。压紧压实防汛“四个责任人”责任，</w:t>
      </w:r>
      <w:r>
        <w:rPr>
          <w:rFonts w:hint="default" w:ascii="仿宋" w:hAnsi="仿宋" w:eastAsia="仿宋" w:cs="仿宋"/>
          <w:kern w:val="0"/>
          <w:sz w:val="27"/>
          <w:szCs w:val="27"/>
          <w:lang w:val="en-US" w:eastAsia="zh-CN" w:bidi="ar-SA"/>
        </w:rPr>
        <w:t>强化水库防洪调度运用和汛限水位执行监督检查，严禁违规超汛限水位运行。</w:t>
      </w:r>
      <w:r>
        <w:rPr>
          <w:rFonts w:hint="eastAsia" w:ascii="仿宋" w:hAnsi="仿宋" w:eastAsia="仿宋" w:cs="仿宋"/>
          <w:kern w:val="0"/>
          <w:sz w:val="27"/>
          <w:szCs w:val="27"/>
          <w:lang w:val="en-US" w:eastAsia="zh-CN" w:bidi="ar-SA"/>
        </w:rPr>
        <w:t>扎实开展安全度汛监督检查，对发现的隐患全部及时整改完成。加大山洪灾害防御宣传力度，在山洪易发区、各乡镇街道集市等人员密集场所，悬挂宣传条幅，滚动播放防汛相关视频、音频资料，切实提高了群众自我保护和防范意识。</w:t>
      </w:r>
    </w:p>
    <w:p>
      <w:pPr>
        <w:pStyle w:val="2"/>
        <w:numPr>
          <w:ilvl w:val="0"/>
          <w:numId w:val="0"/>
        </w:numPr>
        <w:rPr>
          <w:rFonts w:ascii="Times New Roman" w:hAnsi="Times New Roman" w:eastAsia="Times New Roman" w:cs="Times New Roman"/>
          <w:kern w:val="0"/>
          <w:sz w:val="24"/>
        </w:rPr>
      </w:pPr>
      <w:r>
        <w:rPr>
          <w:rFonts w:hint="eastAsia" w:ascii="楷体" w:hAnsi="楷体" w:eastAsia="楷体" w:cs="楷体"/>
          <w:sz w:val="32"/>
          <w:szCs w:val="32"/>
          <w:lang w:val="en-US" w:eastAsia="zh-CN"/>
        </w:rPr>
        <w:t>（六）水利管理服务水平明显提升。</w:t>
      </w:r>
      <w:r>
        <w:rPr>
          <w:rFonts w:hint="eastAsia" w:ascii="仿宋" w:hAnsi="仿宋" w:eastAsia="仿宋" w:cs="仿宋"/>
          <w:kern w:val="0"/>
          <w:sz w:val="27"/>
          <w:szCs w:val="27"/>
          <w:lang w:val="en-US" w:eastAsia="zh-CN" w:bidi="ar-SA"/>
        </w:rPr>
        <w:t>《赤峰市水网建设规划》正式印发实施，谋划形成“四脉多支筑基，二纵一横补源，一湖多库调蓄”的水网布局。大力推行诚信建设工程，推进依法行政，全面拓展政务公开“十公示”制度，组织开展了全市水利行业公共资源交易领域突出问题专项整治行动，加强水利评标专家管理，推进清偿企业欠款，持续优化水利营商环境。与内蒙古农业大学水利与土木建筑工程学院签订了《产、学、研战略合作框架协议》，进一步拓宽招商引资合作通道。深入推进水利安全生产风险管控“六项机制”，不断提升水利行业安全生产监督和管理工作水平。不断加大水法律法规和节水宣传力度，结合世界水日、中国水周等重要时间节点，集中开展了水法律法规和节水宣传活动，进一步增强全社会节水、惜水、护水意识和全民水法治观念。</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ind w:firstLine="481"/>
        <w:rPr>
          <w:rFonts w:ascii="Times New Roman" w:hAnsi="Times New Roman" w:eastAsia="Times New Roman" w:cs="Times New Roman"/>
          <w:kern w:val="0"/>
          <w:sz w:val="24"/>
          <w:u w:val="none"/>
        </w:rPr>
      </w:pPr>
      <w:r>
        <w:rPr>
          <w:rFonts w:hint="eastAsia" w:ascii="仿宋" w:hAnsi="仿宋" w:eastAsia="仿宋" w:cs="仿宋"/>
          <w:kern w:val="0"/>
          <w:sz w:val="27"/>
          <w:szCs w:val="27"/>
        </w:rPr>
        <w:t>赤峰市水利局(本级） 202</w:t>
      </w:r>
      <w:r>
        <w:rPr>
          <w:rFonts w:hint="eastAsia" w:ascii="仿宋" w:hAnsi="仿宋" w:eastAsia="仿宋" w:cs="仿宋"/>
          <w:kern w:val="0"/>
          <w:sz w:val="27"/>
          <w:szCs w:val="27"/>
          <w:lang w:val="en-US" w:eastAsia="zh-CN"/>
        </w:rPr>
        <w:t>4</w:t>
      </w:r>
      <w:r>
        <w:rPr>
          <w:rFonts w:hint="eastAsia" w:ascii="仿宋" w:hAnsi="仿宋" w:eastAsia="仿宋" w:cs="仿宋"/>
          <w:kern w:val="0"/>
          <w:sz w:val="27"/>
          <w:szCs w:val="27"/>
        </w:rPr>
        <w:t>年度收入、支出决算总计</w:t>
      </w:r>
      <w:r>
        <w:rPr>
          <w:rFonts w:hint="eastAsia" w:ascii="仿宋" w:hAnsi="仿宋" w:eastAsia="仿宋" w:cs="仿宋"/>
          <w:kern w:val="0"/>
          <w:sz w:val="27"/>
          <w:szCs w:val="27"/>
          <w:lang w:val="en-US" w:eastAsia="zh-CN"/>
        </w:rPr>
        <w:t>39410.01</w:t>
      </w:r>
      <w:r>
        <w:rPr>
          <w:rFonts w:hint="eastAsia" w:ascii="仿宋" w:hAnsi="仿宋" w:eastAsia="仿宋" w:cs="仿宋"/>
          <w:kern w:val="0"/>
          <w:sz w:val="27"/>
          <w:szCs w:val="27"/>
        </w:rPr>
        <w:t>万元。与年初预算相比，收、支总计各增加</w:t>
      </w:r>
      <w:r>
        <w:rPr>
          <w:rFonts w:hint="eastAsia" w:ascii="仿宋" w:hAnsi="仿宋" w:eastAsia="仿宋" w:cs="仿宋"/>
          <w:kern w:val="0"/>
          <w:sz w:val="27"/>
          <w:szCs w:val="27"/>
          <w:lang w:val="en-US" w:eastAsia="zh-CN"/>
        </w:rPr>
        <w:t>15690.66</w:t>
      </w:r>
      <w:r>
        <w:rPr>
          <w:rFonts w:hint="eastAsia" w:ascii="仿宋" w:hAnsi="仿宋" w:eastAsia="仿宋" w:cs="仿宋"/>
          <w:kern w:val="0"/>
          <w:sz w:val="27"/>
          <w:szCs w:val="27"/>
        </w:rPr>
        <w:t>万元，增长</w:t>
      </w:r>
      <w:r>
        <w:rPr>
          <w:rFonts w:hint="eastAsia" w:ascii="仿宋" w:hAnsi="仿宋" w:eastAsia="仿宋" w:cs="仿宋"/>
          <w:kern w:val="0"/>
          <w:sz w:val="27"/>
          <w:szCs w:val="27"/>
          <w:lang w:val="en-US" w:eastAsia="zh-CN"/>
        </w:rPr>
        <w:t>66.15</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一是增加支付山洪灾害防治项目390.8万元；二是增加支付水网建设规划编制项目113.59万元 ；大石门水库东台子水库赤峰中心城区引供水工程前期费309.35万元；赤峰市西辽河流域地下水-地表水转化关系与水资源管控项目编制100.26万元；支付赤峰市中心城区防洪及环城水系治理工程PPP项目第四年第五年可用性服务费14876.92万元；</w:t>
      </w:r>
      <w:r>
        <w:rPr>
          <w:rFonts w:hint="eastAsia" w:ascii="仿宋" w:hAnsi="仿宋" w:eastAsia="仿宋" w:cs="仿宋"/>
          <w:kern w:val="0"/>
          <w:sz w:val="27"/>
          <w:szCs w:val="27"/>
        </w:rPr>
        <w:t>与上年决算相比，收、支总计各</w:t>
      </w:r>
      <w:r>
        <w:rPr>
          <w:rFonts w:hint="eastAsia" w:ascii="仿宋" w:hAnsi="仿宋" w:eastAsia="仿宋" w:cs="仿宋"/>
          <w:kern w:val="0"/>
          <w:sz w:val="27"/>
          <w:szCs w:val="27"/>
          <w:lang w:val="en-US" w:eastAsia="zh-CN"/>
        </w:rPr>
        <w:t>减少</w:t>
      </w:r>
      <w:r>
        <w:rPr>
          <w:rFonts w:hint="eastAsia" w:ascii="仿宋" w:hAnsi="仿宋" w:eastAsia="仿宋" w:cs="仿宋"/>
          <w:kern w:val="0"/>
          <w:sz w:val="27"/>
          <w:szCs w:val="27"/>
          <w:u w:val="none"/>
          <w:lang w:val="en-US" w:eastAsia="zh-CN"/>
        </w:rPr>
        <w:t>11061.35</w:t>
      </w:r>
      <w:r>
        <w:rPr>
          <w:rFonts w:hint="eastAsia" w:ascii="仿宋" w:hAnsi="仿宋" w:eastAsia="仿宋" w:cs="仿宋"/>
          <w:kern w:val="0"/>
          <w:sz w:val="27"/>
          <w:szCs w:val="27"/>
          <w:u w:val="none"/>
        </w:rPr>
        <w:t>万元，</w:t>
      </w:r>
      <w:r>
        <w:rPr>
          <w:rFonts w:hint="eastAsia" w:ascii="仿宋" w:hAnsi="仿宋" w:eastAsia="仿宋" w:cs="仿宋"/>
          <w:kern w:val="0"/>
          <w:sz w:val="27"/>
          <w:szCs w:val="27"/>
          <w:u w:val="none"/>
          <w:lang w:val="en-US" w:eastAsia="zh-CN"/>
        </w:rPr>
        <w:t>减少</w:t>
      </w:r>
      <w:r>
        <w:rPr>
          <w:rFonts w:hint="eastAsia" w:ascii="仿宋" w:hAnsi="仿宋" w:eastAsia="仿宋" w:cs="仿宋"/>
          <w:kern w:val="0"/>
          <w:sz w:val="27"/>
          <w:szCs w:val="27"/>
          <w:u w:val="none"/>
        </w:rPr>
        <w:t xml:space="preserve"> </w:t>
      </w:r>
      <w:r>
        <w:rPr>
          <w:rFonts w:hint="eastAsia" w:ascii="仿宋" w:hAnsi="仿宋" w:eastAsia="仿宋" w:cs="仿宋"/>
          <w:kern w:val="0"/>
          <w:sz w:val="27"/>
          <w:szCs w:val="27"/>
          <w:u w:val="none"/>
          <w:lang w:val="en-US" w:eastAsia="zh-CN"/>
        </w:rPr>
        <w:t>21.92</w:t>
      </w:r>
      <w:r>
        <w:rPr>
          <w:rFonts w:hint="eastAsia" w:ascii="仿宋" w:hAnsi="仿宋" w:eastAsia="仿宋" w:cs="仿宋"/>
          <w:kern w:val="0"/>
          <w:sz w:val="27"/>
          <w:szCs w:val="27"/>
          <w:u w:val="none"/>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hint="eastAsia" w:ascii="仿宋" w:hAnsi="仿宋" w:eastAsia="仿宋" w:cs="仿宋"/>
          <w:b/>
          <w:bCs/>
          <w:kern w:val="0"/>
          <w:sz w:val="27"/>
          <w:szCs w:val="27"/>
          <w:u w:val="none"/>
        </w:rPr>
        <w:t xml:space="preserve"> </w:t>
      </w:r>
      <w:r>
        <w:rPr>
          <w:rFonts w:hint="eastAsia" w:ascii="仿宋" w:hAnsi="仿宋" w:eastAsia="仿宋" w:cs="仿宋"/>
          <w:b/>
          <w:bCs/>
          <w:kern w:val="0"/>
          <w:sz w:val="27"/>
          <w:szCs w:val="27"/>
          <w:u w:val="none"/>
          <w:lang w:val="en-US" w:eastAsia="zh-CN"/>
        </w:rPr>
        <w:t>39410.01</w:t>
      </w:r>
      <w:r>
        <w:rPr>
          <w:rFonts w:ascii="kai_ti_gb2312" w:hAnsi="kai_ti_gb2312" w:eastAsia="kai_ti_gb2312" w:cs="kai_ti_gb2312"/>
          <w:b/>
          <w:bCs/>
          <w:kern w:val="0"/>
          <w:sz w:val="27"/>
          <w:szCs w:val="27"/>
        </w:rPr>
        <w:t>万元。包括：</w:t>
      </w:r>
    </w:p>
    <w:p>
      <w:pPr>
        <w:widowControl/>
        <w:spacing w:before="240" w:after="240"/>
        <w:rPr>
          <w:rFonts w:hint="default" w:ascii="仿宋" w:hAnsi="仿宋" w:eastAsia="仿宋" w:cs="仿宋"/>
          <w:kern w:val="0"/>
          <w:sz w:val="27"/>
          <w:szCs w:val="27"/>
          <w:lang w:val="en-US" w:eastAsia="zh-CN"/>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lang w:val="en-US" w:eastAsia="zh-CN"/>
        </w:rPr>
        <w:t>  1.本年收入决算合计 39410.01万元。与上年决算相比，减少11061.35万元，减少21.92%，变动原因：一是减少对三座店引供水工程ppp项目第一运营年度基本水量不足部分补贴项目1075.83万元，2023年补贴2024年未补贴；二是赤峰市中心城区防洪及环城水系治理工程PPP项目可用性服务费较上年减少9985.52万元；</w:t>
      </w:r>
    </w:p>
    <w:p>
      <w:pPr>
        <w:widowControl/>
        <w:spacing w:before="240" w:after="240"/>
        <w:rPr>
          <w:rFonts w:hint="eastAsia" w:ascii="仿宋" w:hAnsi="仿宋" w:eastAsia="仿宋" w:cs="仿宋"/>
          <w:kern w:val="0"/>
          <w:sz w:val="27"/>
          <w:szCs w:val="27"/>
          <w:lang w:val="en-US" w:eastAsia="zh-CN"/>
        </w:rPr>
      </w:pPr>
      <w:r>
        <w:rPr>
          <w:rFonts w:hint="eastAsia" w:ascii="仿宋" w:hAnsi="仿宋" w:eastAsia="仿宋" w:cs="仿宋"/>
          <w:kern w:val="0"/>
          <w:sz w:val="27"/>
          <w:szCs w:val="27"/>
          <w:lang w:val="en-US" w:eastAsia="zh-CN"/>
        </w:rPr>
        <w:t>    2.使用非财政拨款结余和专用结余 0.00万元。与上年决算相比，增加0.00万元，增长0%，变动原因：本单位无非财政拨款。</w:t>
      </w:r>
    </w:p>
    <w:p>
      <w:pPr>
        <w:widowControl/>
        <w:spacing w:before="240" w:after="240"/>
        <w:rPr>
          <w:rFonts w:hint="eastAsia" w:ascii="仿宋" w:hAnsi="仿宋" w:eastAsia="仿宋" w:cs="仿宋"/>
          <w:kern w:val="0"/>
          <w:sz w:val="27"/>
          <w:szCs w:val="27"/>
          <w:lang w:val="en-US" w:eastAsia="zh-CN"/>
        </w:rPr>
      </w:pPr>
      <w:r>
        <w:rPr>
          <w:rFonts w:hint="eastAsia" w:ascii="仿宋" w:hAnsi="仿宋" w:eastAsia="仿宋" w:cs="仿宋"/>
          <w:kern w:val="0"/>
          <w:sz w:val="27"/>
          <w:szCs w:val="27"/>
          <w:lang w:val="en-US" w:eastAsia="zh-CN"/>
        </w:rPr>
        <w:t>    3.年初结转和结余 0.00万元。与上年决算相比，增加0.00万元，增长0%，变动原因：2023年不再使用结转结余资金。</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hint="eastAsia" w:ascii="仿宋" w:hAnsi="仿宋" w:eastAsia="仿宋" w:cs="仿宋"/>
          <w:b/>
          <w:bCs/>
          <w:kern w:val="0"/>
          <w:sz w:val="27"/>
          <w:szCs w:val="27"/>
          <w:u w:val="none"/>
          <w:lang w:val="en-US" w:eastAsia="zh-CN"/>
        </w:rPr>
        <w:t>39410.01</w:t>
      </w:r>
      <w:r>
        <w:rPr>
          <w:rFonts w:ascii="kai_ti_gb2312" w:hAnsi="kai_ti_gb2312" w:eastAsia="kai_ti_gb2312" w:cs="kai_ti_gb2312"/>
          <w:b/>
          <w:bCs/>
          <w:kern w:val="0"/>
          <w:sz w:val="27"/>
          <w:szCs w:val="27"/>
        </w:rPr>
        <w:t>万元。包括：</w:t>
      </w:r>
    </w:p>
    <w:p>
      <w:pPr>
        <w:widowControl/>
        <w:spacing w:before="240" w:after="240"/>
        <w:rPr>
          <w:rFonts w:hint="default" w:ascii="仿宋" w:hAnsi="仿宋" w:eastAsia="仿宋" w:cs="仿宋"/>
          <w:kern w:val="0"/>
          <w:sz w:val="27"/>
          <w:szCs w:val="27"/>
          <w:lang w:val="en-US" w:eastAsia="zh-CN"/>
        </w:rPr>
      </w:pPr>
      <w:r>
        <w:rPr>
          <w:rFonts w:ascii="fang_song_gb2312" w:hAnsi="fang_song_gb2312" w:eastAsia="fang_song_gb2312" w:cs="fang_song_gb2312"/>
          <w:kern w:val="0"/>
          <w:sz w:val="27"/>
          <w:szCs w:val="27"/>
        </w:rPr>
        <w:t xml:space="preserve">  </w:t>
      </w:r>
      <w:r>
        <w:rPr>
          <w:rFonts w:ascii="fang_song_gb2312" w:hAnsi="fang_song_gb2312" w:eastAsia="fang_song_gb2312" w:cs="fang_song_gb2312"/>
          <w:kern w:val="0"/>
          <w:sz w:val="27"/>
          <w:szCs w:val="27"/>
          <w:u w:val="none"/>
        </w:rPr>
        <w:t> </w:t>
      </w:r>
      <w:r>
        <w:rPr>
          <w:rFonts w:hint="eastAsia" w:ascii="仿宋" w:hAnsi="仿宋" w:eastAsia="仿宋" w:cs="仿宋"/>
          <w:kern w:val="0"/>
          <w:sz w:val="27"/>
          <w:szCs w:val="27"/>
          <w:u w:val="none"/>
        </w:rPr>
        <w:t xml:space="preserve"> 1.本年支出决算合计</w:t>
      </w:r>
      <w:r>
        <w:rPr>
          <w:rFonts w:hint="eastAsia" w:ascii="仿宋" w:hAnsi="仿宋" w:eastAsia="仿宋" w:cs="仿宋"/>
          <w:kern w:val="0"/>
          <w:sz w:val="27"/>
          <w:szCs w:val="27"/>
          <w:u w:val="none"/>
          <w:lang w:val="en-US" w:eastAsia="zh-CN"/>
        </w:rPr>
        <w:t>39410.01</w:t>
      </w:r>
      <w:r>
        <w:rPr>
          <w:rFonts w:hint="eastAsia" w:ascii="仿宋" w:hAnsi="仿宋" w:eastAsia="仿宋" w:cs="仿宋"/>
          <w:kern w:val="0"/>
          <w:sz w:val="27"/>
          <w:szCs w:val="27"/>
          <w:u w:val="none"/>
        </w:rPr>
        <w:t>万元。与上年决算相比，</w:t>
      </w:r>
      <w:r>
        <w:rPr>
          <w:rFonts w:hint="eastAsia" w:ascii="仿宋" w:hAnsi="仿宋" w:eastAsia="仿宋" w:cs="仿宋"/>
          <w:kern w:val="0"/>
          <w:sz w:val="27"/>
          <w:szCs w:val="27"/>
          <w:u w:val="none"/>
          <w:lang w:val="en-US" w:eastAsia="zh-CN"/>
        </w:rPr>
        <w:t>减少</w:t>
      </w:r>
      <w:r>
        <w:rPr>
          <w:rFonts w:hint="eastAsia" w:ascii="仿宋" w:hAnsi="仿宋" w:eastAsia="仿宋" w:cs="仿宋"/>
          <w:kern w:val="0"/>
          <w:sz w:val="27"/>
          <w:szCs w:val="27"/>
          <w:lang w:val="en-US" w:eastAsia="zh-CN"/>
        </w:rPr>
        <w:t>11061.35万元</w:t>
      </w:r>
      <w:r>
        <w:rPr>
          <w:rFonts w:hint="eastAsia" w:ascii="仿宋" w:hAnsi="仿宋" w:eastAsia="仿宋" w:cs="仿宋"/>
          <w:kern w:val="0"/>
          <w:sz w:val="27"/>
          <w:szCs w:val="27"/>
          <w:u w:val="none"/>
        </w:rPr>
        <w:t>，</w:t>
      </w:r>
      <w:r>
        <w:rPr>
          <w:rFonts w:hint="eastAsia" w:ascii="仿宋" w:hAnsi="仿宋" w:eastAsia="仿宋" w:cs="仿宋"/>
          <w:kern w:val="0"/>
          <w:sz w:val="27"/>
          <w:szCs w:val="27"/>
          <w:lang w:val="en-US" w:eastAsia="zh-CN"/>
        </w:rPr>
        <w:t>减少21.92%</w:t>
      </w:r>
      <w:r>
        <w:rPr>
          <w:rFonts w:hint="eastAsia" w:ascii="仿宋" w:hAnsi="仿宋" w:eastAsia="仿宋" w:cs="仿宋"/>
          <w:kern w:val="0"/>
          <w:sz w:val="27"/>
          <w:szCs w:val="27"/>
          <w:u w:val="none"/>
        </w:rPr>
        <w:t>，变动原因：</w:t>
      </w:r>
      <w:r>
        <w:rPr>
          <w:rFonts w:hint="eastAsia" w:ascii="仿宋" w:hAnsi="仿宋" w:eastAsia="仿宋" w:cs="仿宋"/>
          <w:kern w:val="0"/>
          <w:sz w:val="27"/>
          <w:szCs w:val="27"/>
          <w:lang w:val="en-US" w:eastAsia="zh-CN"/>
        </w:rPr>
        <w:t xml:space="preserve"> </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2.结余分配 0.00万元。</w:t>
      </w:r>
      <w:r>
        <w:rPr>
          <w:rFonts w:hint="eastAsia" w:ascii="仿宋" w:hAnsi="仿宋" w:eastAsia="仿宋" w:cs="仿宋"/>
          <w:color w:val="auto"/>
          <w:kern w:val="2"/>
          <w:sz w:val="32"/>
          <w:szCs w:val="24"/>
          <w:u w:val="none"/>
          <w:lang w:val="en-US" w:eastAsia="zh-CN"/>
        </w:rPr>
        <w:t>无</w:t>
      </w:r>
      <w:r>
        <w:rPr>
          <w:rFonts w:hint="eastAsia" w:ascii="仿宋" w:hAnsi="仿宋" w:eastAsia="仿宋" w:cs="仿宋"/>
          <w:color w:val="auto"/>
          <w:kern w:val="2"/>
          <w:sz w:val="32"/>
          <w:szCs w:val="24"/>
          <w:u w:val="none"/>
        </w:rPr>
        <w:t>结余分配事项</w:t>
      </w:r>
      <w:r>
        <w:rPr>
          <w:rFonts w:hint="eastAsia" w:ascii="仿宋" w:hAnsi="仿宋" w:eastAsia="仿宋" w:cs="仿宋"/>
          <w:color w:val="auto"/>
          <w:kern w:val="2"/>
          <w:sz w:val="32"/>
          <w:szCs w:val="24"/>
          <w:u w:val="none"/>
          <w:lang w:eastAsia="zh-CN"/>
        </w:rPr>
        <w:t>。</w:t>
      </w:r>
      <w:r>
        <w:rPr>
          <w:rFonts w:hint="eastAsia" w:ascii="仿宋" w:hAnsi="仿宋" w:eastAsia="仿宋" w:cs="仿宋"/>
          <w:kern w:val="0"/>
          <w:sz w:val="27"/>
          <w:szCs w:val="27"/>
          <w:u w:val="none"/>
        </w:rPr>
        <w:t>与上年决算相比，增加0.00万元，增长</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u w:val="none"/>
        </w:rPr>
        <w:t>%，变动原因：</w:t>
      </w:r>
      <w:r>
        <w:rPr>
          <w:rFonts w:hint="eastAsia" w:ascii="仿宋" w:hAnsi="仿宋" w:eastAsia="仿宋" w:cs="仿宋"/>
          <w:kern w:val="0"/>
          <w:sz w:val="27"/>
          <w:szCs w:val="27"/>
          <w:u w:val="none"/>
          <w:lang w:val="en-US" w:eastAsia="zh-CN"/>
        </w:rPr>
        <w:t>本年度无结余分配资金及事项</w:t>
      </w:r>
      <w:r>
        <w:rPr>
          <w:rFonts w:hint="eastAsia" w:ascii="仿宋" w:hAnsi="仿宋" w:eastAsia="仿宋" w:cs="仿宋"/>
          <w:kern w:val="0"/>
          <w:sz w:val="27"/>
          <w:szCs w:val="27"/>
          <w:u w:val="none"/>
        </w:rPr>
        <w:t>。</w:t>
      </w:r>
    </w:p>
    <w:p>
      <w:pPr>
        <w:widowControl/>
        <w:spacing w:before="240" w:after="240"/>
        <w:rPr>
          <w:rFonts w:ascii="Times New Roman" w:hAnsi="Times New Roman" w:eastAsia="Times New Roman" w:cs="Times New Roman"/>
          <w:kern w:val="0"/>
          <w:sz w:val="24"/>
          <w:u w:val="none"/>
        </w:rPr>
      </w:pPr>
      <w:r>
        <w:rPr>
          <w:rFonts w:hint="eastAsia" w:ascii="仿宋" w:hAnsi="仿宋" w:eastAsia="仿宋" w:cs="仿宋"/>
          <w:kern w:val="0"/>
          <w:sz w:val="27"/>
          <w:szCs w:val="27"/>
          <w:u w:val="none"/>
        </w:rPr>
        <w:t>    3.年末结转和结余 0.00万元。</w:t>
      </w:r>
      <w:r>
        <w:rPr>
          <w:rFonts w:hint="eastAsia" w:ascii="仿宋" w:hAnsi="仿宋" w:eastAsia="仿宋" w:cs="仿宋"/>
          <w:kern w:val="0"/>
          <w:sz w:val="27"/>
          <w:szCs w:val="27"/>
          <w:u w:val="none"/>
          <w:lang w:val="en-US" w:eastAsia="zh-CN"/>
        </w:rPr>
        <w:t>无</w:t>
      </w:r>
      <w:r>
        <w:rPr>
          <w:rFonts w:hint="eastAsia" w:ascii="仿宋" w:hAnsi="仿宋" w:eastAsia="仿宋" w:cs="仿宋"/>
          <w:kern w:val="0"/>
          <w:sz w:val="27"/>
          <w:szCs w:val="27"/>
          <w:u w:val="none"/>
        </w:rPr>
        <w:t>结转和结余事项。与上年决算相比，增加 0.00万元，增长</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u w:val="none"/>
        </w:rPr>
        <w:t>%，变动原因：</w:t>
      </w:r>
      <w:r>
        <w:rPr>
          <w:rFonts w:hint="eastAsia" w:ascii="仿宋" w:hAnsi="仿宋" w:eastAsia="仿宋" w:cs="仿宋"/>
          <w:color w:val="auto"/>
          <w:kern w:val="2"/>
          <w:sz w:val="32"/>
          <w:szCs w:val="24"/>
          <w:u w:val="none"/>
          <w:lang w:val="en-US" w:eastAsia="zh-CN"/>
        </w:rPr>
        <w:t>2024年不再使用结转结余资金。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hint="eastAsia" w:ascii="仿宋" w:hAnsi="仿宋" w:eastAsia="仿宋" w:cs="仿宋"/>
          <w:kern w:val="0"/>
          <w:sz w:val="24"/>
          <w:u w:val="none"/>
        </w:rPr>
      </w:pPr>
      <w:r>
        <w:rPr>
          <w:rFonts w:ascii="fang_song_gb2312" w:hAnsi="fang_song_gb2312" w:eastAsia="fang_song_gb2312" w:cs="fang_song_gb2312"/>
          <w:kern w:val="0"/>
          <w:sz w:val="27"/>
          <w:szCs w:val="27"/>
        </w:rPr>
        <w:t> </w:t>
      </w:r>
      <w:r>
        <w:rPr>
          <w:rFonts w:ascii="fang_song_gb2312" w:hAnsi="fang_song_gb2312" w:eastAsia="fang_song_gb2312" w:cs="fang_song_gb2312"/>
          <w:kern w:val="0"/>
          <w:sz w:val="27"/>
          <w:szCs w:val="27"/>
          <w:u w:val="none"/>
        </w:rPr>
        <w:t xml:space="preserve">   </w:t>
      </w:r>
      <w:r>
        <w:rPr>
          <w:rFonts w:hint="eastAsia" w:ascii="仿宋" w:hAnsi="仿宋" w:eastAsia="仿宋" w:cs="仿宋"/>
          <w:kern w:val="0"/>
          <w:sz w:val="27"/>
          <w:szCs w:val="27"/>
          <w:u w:val="none"/>
        </w:rPr>
        <w:t>赤峰市水利局(本级） 202</w:t>
      </w:r>
      <w:r>
        <w:rPr>
          <w:rFonts w:hint="eastAsia" w:ascii="仿宋" w:hAnsi="仿宋" w:eastAsia="仿宋" w:cs="仿宋"/>
          <w:kern w:val="0"/>
          <w:sz w:val="27"/>
          <w:szCs w:val="27"/>
          <w:u w:val="none"/>
          <w:lang w:val="en-US" w:eastAsia="zh-CN"/>
        </w:rPr>
        <w:t>4</w:t>
      </w:r>
      <w:r>
        <w:rPr>
          <w:rFonts w:hint="eastAsia" w:ascii="仿宋" w:hAnsi="仿宋" w:eastAsia="仿宋" w:cs="仿宋"/>
          <w:kern w:val="0"/>
          <w:sz w:val="27"/>
          <w:szCs w:val="27"/>
          <w:u w:val="none"/>
        </w:rPr>
        <w:t>年度本年收入决算合计</w:t>
      </w:r>
      <w:r>
        <w:rPr>
          <w:rFonts w:hint="eastAsia" w:ascii="仿宋" w:hAnsi="仿宋" w:eastAsia="仿宋" w:cs="仿宋"/>
          <w:kern w:val="0"/>
          <w:sz w:val="27"/>
          <w:szCs w:val="27"/>
          <w:u w:val="none"/>
          <w:lang w:val="en-US" w:eastAsia="zh-CN"/>
        </w:rPr>
        <w:t>39410.01</w:t>
      </w:r>
      <w:r>
        <w:rPr>
          <w:rFonts w:hint="eastAsia" w:ascii="仿宋" w:hAnsi="仿宋" w:eastAsia="仿宋" w:cs="仿宋"/>
          <w:kern w:val="0"/>
          <w:sz w:val="27"/>
          <w:szCs w:val="27"/>
          <w:u w:val="none"/>
        </w:rPr>
        <w:t>万元，其中：</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本年一般公共预算财政拨款收入</w:t>
      </w:r>
      <w:r>
        <w:rPr>
          <w:rFonts w:hint="eastAsia" w:ascii="仿宋" w:hAnsi="仿宋" w:eastAsia="仿宋" w:cs="仿宋"/>
          <w:kern w:val="0"/>
          <w:sz w:val="27"/>
          <w:szCs w:val="27"/>
          <w:u w:val="none"/>
          <w:lang w:val="en-US" w:eastAsia="zh-CN"/>
        </w:rPr>
        <w:t>39410.01</w:t>
      </w:r>
      <w:r>
        <w:rPr>
          <w:rFonts w:hint="eastAsia" w:ascii="仿宋" w:hAnsi="仿宋" w:eastAsia="仿宋" w:cs="仿宋"/>
          <w:kern w:val="0"/>
          <w:sz w:val="27"/>
          <w:szCs w:val="27"/>
          <w:u w:val="none"/>
        </w:rPr>
        <w:t>万元，占 100.00%；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本年政府性基金预算财政拨款收入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本年国有资本经营预算财政拨款收入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本年上级补助收入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本年事业收入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本年经营收入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本年附属单位上缴收入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本年其他收入 0.00万元，占 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hint="default"/>
          <w:sz w:val="24"/>
          <w:szCs w:val="24"/>
        </w:rPr>
        <w:drawing>
          <wp:anchor distT="0" distB="0" distL="114300" distR="114300" simplePos="0" relativeHeight="251659264" behindDoc="0" locked="0" layoutInCell="1" allowOverlap="1">
            <wp:simplePos x="0" y="0"/>
            <wp:positionH relativeFrom="column">
              <wp:posOffset>377190</wp:posOffset>
            </wp:positionH>
            <wp:positionV relativeFrom="paragraph">
              <wp:posOffset>95250</wp:posOffset>
            </wp:positionV>
            <wp:extent cx="5154295" cy="2406015"/>
            <wp:effectExtent l="0" t="0" r="8255" b="13335"/>
            <wp:wrapTopAndBottom/>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6"/>
                    <a:stretch>
                      <a:fillRect/>
                    </a:stretch>
                  </pic:blipFill>
                  <pic:spPr>
                    <a:xfrm>
                      <a:off x="0" y="0"/>
                      <a:ext cx="5154295" cy="2406015"/>
                    </a:xfrm>
                    <a:prstGeom prst="rect">
                      <a:avLst/>
                    </a:prstGeom>
                    <a:noFill/>
                    <a:ln>
                      <a:noFill/>
                    </a:ln>
                  </pic:spPr>
                </pic:pic>
              </a:graphicData>
            </a:graphic>
          </wp:anchor>
        </w:drawing>
      </w:r>
    </w:p>
    <w:p>
      <w:pPr>
        <w:widowControl/>
        <w:spacing w:before="240" w:after="240"/>
        <w:jc w:val="center"/>
        <w:rPr>
          <w:rFonts w:hint="eastAsia" w:ascii="仿宋" w:hAnsi="仿宋" w:eastAsia="仿宋" w:cs="仿宋"/>
          <w:kern w:val="0"/>
          <w:sz w:val="24"/>
        </w:rPr>
      </w:pPr>
      <w:r>
        <w:rPr>
          <w:rFonts w:hint="eastAsia" w:ascii="仿宋" w:hAnsi="仿宋" w:eastAsia="仿宋" w:cs="仿宋"/>
          <w:kern w:val="0"/>
          <w:sz w:val="27"/>
          <w:szCs w:val="27"/>
        </w:rPr>
        <w:t>图1.收入决算图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w:t>
      </w:r>
    </w:p>
    <w:p>
      <w:pPr>
        <w:widowControl/>
        <w:spacing w:before="240" w:after="240"/>
        <w:rPr>
          <w:rFonts w:hint="eastAsia" w:ascii="仿宋" w:hAnsi="仿宋" w:eastAsia="仿宋" w:cs="仿宋"/>
          <w:kern w:val="0"/>
          <w:sz w:val="24"/>
          <w:u w:val="none"/>
        </w:rPr>
      </w:pPr>
      <w:r>
        <w:rPr>
          <w:rFonts w:ascii="fang_song_gb2312" w:hAnsi="fang_song_gb2312" w:eastAsia="fang_song_gb2312" w:cs="fang_song_gb2312"/>
          <w:kern w:val="0"/>
          <w:sz w:val="27"/>
          <w:szCs w:val="27"/>
        </w:rPr>
        <w:t> </w:t>
      </w:r>
      <w:r>
        <w:rPr>
          <w:rFonts w:hint="eastAsia" w:ascii="仿宋" w:hAnsi="仿宋" w:eastAsia="仿宋" w:cs="仿宋"/>
          <w:kern w:val="0"/>
          <w:sz w:val="27"/>
          <w:szCs w:val="27"/>
          <w:u w:val="none"/>
        </w:rPr>
        <w:t xml:space="preserve">   赤峰市水利局(本级） 202</w:t>
      </w:r>
      <w:r>
        <w:rPr>
          <w:rFonts w:hint="eastAsia" w:ascii="仿宋" w:hAnsi="仿宋" w:eastAsia="仿宋" w:cs="仿宋"/>
          <w:kern w:val="0"/>
          <w:sz w:val="27"/>
          <w:szCs w:val="27"/>
          <w:u w:val="none"/>
          <w:lang w:val="en-US" w:eastAsia="zh-CN"/>
        </w:rPr>
        <w:t>4</w:t>
      </w:r>
      <w:r>
        <w:rPr>
          <w:rFonts w:hint="eastAsia" w:ascii="仿宋" w:hAnsi="仿宋" w:eastAsia="仿宋" w:cs="仿宋"/>
          <w:kern w:val="0"/>
          <w:sz w:val="27"/>
          <w:szCs w:val="27"/>
          <w:u w:val="none"/>
        </w:rPr>
        <w:t xml:space="preserve">年度本年支出决算合计 </w:t>
      </w:r>
      <w:r>
        <w:rPr>
          <w:rFonts w:hint="eastAsia" w:ascii="仿宋" w:hAnsi="仿宋" w:eastAsia="仿宋" w:cs="仿宋"/>
          <w:kern w:val="0"/>
          <w:sz w:val="27"/>
          <w:szCs w:val="27"/>
          <w:u w:val="none"/>
          <w:lang w:val="en-US" w:eastAsia="zh-CN"/>
        </w:rPr>
        <w:t>39410.01</w:t>
      </w:r>
      <w:r>
        <w:rPr>
          <w:rFonts w:hint="eastAsia" w:ascii="仿宋" w:hAnsi="仿宋" w:eastAsia="仿宋" w:cs="仿宋"/>
          <w:kern w:val="0"/>
          <w:sz w:val="27"/>
          <w:szCs w:val="27"/>
          <w:u w:val="none"/>
        </w:rPr>
        <w:t>万元，其中：</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本年基本支出 653.11万元，占 1.</w:t>
      </w:r>
      <w:r>
        <w:rPr>
          <w:rFonts w:hint="eastAsia" w:ascii="仿宋" w:hAnsi="仿宋" w:eastAsia="仿宋" w:cs="仿宋"/>
          <w:kern w:val="0"/>
          <w:sz w:val="27"/>
          <w:szCs w:val="27"/>
          <w:u w:val="none"/>
          <w:lang w:val="en-US" w:eastAsia="zh-CN"/>
        </w:rPr>
        <w:t>66</w:t>
      </w:r>
      <w:r>
        <w:rPr>
          <w:rFonts w:hint="eastAsia" w:ascii="仿宋" w:hAnsi="仿宋" w:eastAsia="仿宋" w:cs="仿宋"/>
          <w:kern w:val="0"/>
          <w:sz w:val="27"/>
          <w:szCs w:val="27"/>
          <w:u w:val="none"/>
        </w:rPr>
        <w:t>%；</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本年项目支出 38756.9万元，占</w:t>
      </w:r>
      <w:r>
        <w:rPr>
          <w:rFonts w:hint="eastAsia" w:ascii="仿宋" w:hAnsi="仿宋" w:eastAsia="仿宋" w:cs="仿宋"/>
          <w:kern w:val="0"/>
          <w:sz w:val="27"/>
          <w:szCs w:val="27"/>
          <w:u w:val="none"/>
          <w:lang w:val="en-US" w:eastAsia="zh-CN"/>
        </w:rPr>
        <w:t>98.34</w:t>
      </w:r>
      <w:r>
        <w:rPr>
          <w:rFonts w:hint="eastAsia" w:ascii="仿宋" w:hAnsi="仿宋" w:eastAsia="仿宋" w:cs="仿宋"/>
          <w:kern w:val="0"/>
          <w:sz w:val="27"/>
          <w:szCs w:val="27"/>
          <w:u w:val="none"/>
        </w:rPr>
        <w:t>%；</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本年上缴上级支出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本年经营支出 0.00万元，占 0.00%；</w:t>
      </w:r>
    </w:p>
    <w:p>
      <w:pPr>
        <w:widowControl/>
        <w:spacing w:before="240" w:after="240"/>
        <w:rPr>
          <w:rFonts w:hint="eastAsia" w:ascii="仿宋" w:hAnsi="仿宋" w:eastAsia="仿宋" w:cs="仿宋"/>
          <w:kern w:val="0"/>
          <w:sz w:val="24"/>
          <w:u w:val="none"/>
        </w:rPr>
      </w:pPr>
      <w:r>
        <w:rPr>
          <w:rFonts w:hint="eastAsia" w:ascii="仿宋" w:hAnsi="仿宋" w:eastAsia="仿宋" w:cs="仿宋"/>
          <w:kern w:val="0"/>
          <w:sz w:val="27"/>
          <w:szCs w:val="27"/>
          <w:u w:val="none"/>
        </w:rPr>
        <w:t>    本年对附属单位补助支出 0.00万元，占 0.00%。</w:t>
      </w:r>
    </w:p>
    <w:p>
      <w:pPr>
        <w:widowControl/>
        <w:spacing w:before="240" w:after="240"/>
        <w:jc w:val="left"/>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p>
    <w:p>
      <w:pPr>
        <w:pStyle w:val="23"/>
        <w:rPr>
          <w:rFonts w:ascii="Times New Roman" w:hAnsi="Times New Roman" w:eastAsia="Times New Roman" w:cs="Times New Roman"/>
          <w:kern w:val="0"/>
          <w:sz w:val="24"/>
        </w:rPr>
      </w:pPr>
      <w:r>
        <w:drawing>
          <wp:inline distT="0" distB="0" distL="114300" distR="114300">
            <wp:extent cx="4572000" cy="1974215"/>
            <wp:effectExtent l="4445" t="4445" r="14605"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hint="eastAsia" w:ascii="仿宋" w:hAnsi="仿宋" w:eastAsia="仿宋" w:cs="仿宋"/>
          <w:kern w:val="0"/>
          <w:sz w:val="27"/>
          <w:szCs w:val="27"/>
          <w:u w:val="none"/>
          <w:lang w:val="en-US" w:eastAsia="zh-CN"/>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赤峰市水利局(本级） 202</w:t>
      </w:r>
      <w:r>
        <w:rPr>
          <w:rFonts w:hint="eastAsia" w:ascii="仿宋" w:hAnsi="仿宋" w:eastAsia="仿宋" w:cs="仿宋"/>
          <w:kern w:val="0"/>
          <w:sz w:val="27"/>
          <w:szCs w:val="27"/>
          <w:lang w:val="en-US" w:eastAsia="zh-CN"/>
        </w:rPr>
        <w:t>4</w:t>
      </w:r>
      <w:r>
        <w:rPr>
          <w:rFonts w:hint="eastAsia" w:ascii="仿宋" w:hAnsi="仿宋" w:eastAsia="仿宋" w:cs="仿宋"/>
          <w:kern w:val="0"/>
          <w:sz w:val="27"/>
          <w:szCs w:val="27"/>
        </w:rPr>
        <w:t>年度财政拨款收入、支出决算总计</w:t>
      </w:r>
      <w:r>
        <w:rPr>
          <w:rFonts w:hint="eastAsia" w:ascii="仿宋" w:hAnsi="仿宋" w:eastAsia="仿宋" w:cs="仿宋"/>
          <w:kern w:val="0"/>
          <w:sz w:val="27"/>
          <w:szCs w:val="27"/>
          <w:lang w:val="en-US" w:eastAsia="zh-CN"/>
        </w:rPr>
        <w:t>39410.01</w:t>
      </w:r>
      <w:r>
        <w:rPr>
          <w:rFonts w:hint="eastAsia" w:ascii="仿宋" w:hAnsi="仿宋" w:eastAsia="仿宋" w:cs="仿宋"/>
          <w:kern w:val="0"/>
          <w:sz w:val="27"/>
          <w:szCs w:val="27"/>
        </w:rPr>
        <w:t>万元，与年初预算相比，收、支总计各增加</w:t>
      </w:r>
      <w:r>
        <w:rPr>
          <w:rFonts w:hint="eastAsia" w:ascii="仿宋" w:hAnsi="仿宋" w:eastAsia="仿宋" w:cs="仿宋"/>
          <w:kern w:val="0"/>
          <w:sz w:val="27"/>
          <w:szCs w:val="27"/>
          <w:lang w:val="en-US" w:eastAsia="zh-CN"/>
        </w:rPr>
        <w:t>15690.66</w:t>
      </w:r>
      <w:r>
        <w:rPr>
          <w:rFonts w:hint="eastAsia" w:ascii="仿宋" w:hAnsi="仿宋" w:eastAsia="仿宋" w:cs="仿宋"/>
          <w:kern w:val="0"/>
          <w:sz w:val="27"/>
          <w:szCs w:val="27"/>
        </w:rPr>
        <w:t>万元，增长</w:t>
      </w:r>
      <w:r>
        <w:rPr>
          <w:rFonts w:hint="eastAsia" w:ascii="仿宋" w:hAnsi="仿宋" w:eastAsia="仿宋" w:cs="仿宋"/>
          <w:kern w:val="0"/>
          <w:sz w:val="27"/>
          <w:szCs w:val="27"/>
          <w:lang w:val="en-US" w:eastAsia="zh-CN"/>
        </w:rPr>
        <w:t>66.15</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一是增加支付山洪灾害防治项目390.8万元；二是增加支付水网建设规划编制项目113.59万元 ；大石门水库东台子水库赤峰中心城区引供水工程前期费309.35万元；赤峰市西辽河流域地下水-地表水转化关系与水资源管控项目编制100.26万元；支付赤峰市中心城区防洪及环城水系治理工程PPP项目第四年第五年可用性服务费14876.92万元；</w:t>
      </w:r>
      <w:r>
        <w:rPr>
          <w:rFonts w:hint="eastAsia" w:ascii="仿宋" w:hAnsi="仿宋" w:eastAsia="仿宋" w:cs="仿宋"/>
          <w:kern w:val="0"/>
          <w:sz w:val="27"/>
          <w:szCs w:val="27"/>
        </w:rPr>
        <w:t>与上年决算相比，收、支总计各</w:t>
      </w:r>
      <w:r>
        <w:rPr>
          <w:rFonts w:hint="eastAsia" w:ascii="仿宋" w:hAnsi="仿宋" w:eastAsia="仿宋" w:cs="仿宋"/>
          <w:kern w:val="0"/>
          <w:sz w:val="27"/>
          <w:szCs w:val="27"/>
          <w:lang w:val="en-US" w:eastAsia="zh-CN"/>
        </w:rPr>
        <w:t>减少</w:t>
      </w:r>
      <w:r>
        <w:rPr>
          <w:rFonts w:hint="eastAsia" w:ascii="仿宋" w:hAnsi="仿宋" w:eastAsia="仿宋" w:cs="仿宋"/>
          <w:kern w:val="0"/>
          <w:sz w:val="27"/>
          <w:szCs w:val="27"/>
          <w:u w:val="none"/>
          <w:lang w:val="en-US" w:eastAsia="zh-CN"/>
        </w:rPr>
        <w:t>11061.35</w:t>
      </w:r>
      <w:r>
        <w:rPr>
          <w:rFonts w:hint="eastAsia" w:ascii="仿宋" w:hAnsi="仿宋" w:eastAsia="仿宋" w:cs="仿宋"/>
          <w:kern w:val="0"/>
          <w:sz w:val="27"/>
          <w:szCs w:val="27"/>
          <w:u w:val="none"/>
        </w:rPr>
        <w:t>万元，</w:t>
      </w:r>
      <w:r>
        <w:rPr>
          <w:rFonts w:hint="eastAsia" w:ascii="仿宋" w:hAnsi="仿宋" w:eastAsia="仿宋" w:cs="仿宋"/>
          <w:kern w:val="0"/>
          <w:sz w:val="27"/>
          <w:szCs w:val="27"/>
          <w:u w:val="none"/>
          <w:lang w:val="en-US" w:eastAsia="zh-CN"/>
        </w:rPr>
        <w:t>减少</w:t>
      </w:r>
      <w:r>
        <w:rPr>
          <w:rFonts w:hint="eastAsia" w:ascii="仿宋" w:hAnsi="仿宋" w:eastAsia="仿宋" w:cs="仿宋"/>
          <w:kern w:val="0"/>
          <w:sz w:val="27"/>
          <w:szCs w:val="27"/>
          <w:u w:val="none"/>
        </w:rPr>
        <w:t xml:space="preserve"> </w:t>
      </w:r>
      <w:r>
        <w:rPr>
          <w:rFonts w:hint="eastAsia" w:ascii="仿宋" w:hAnsi="仿宋" w:eastAsia="仿宋" w:cs="仿宋"/>
          <w:kern w:val="0"/>
          <w:sz w:val="27"/>
          <w:szCs w:val="27"/>
          <w:u w:val="none"/>
          <w:lang w:val="en-US" w:eastAsia="zh-CN"/>
        </w:rPr>
        <w:t>21.92</w:t>
      </w:r>
      <w:r>
        <w:rPr>
          <w:rFonts w:hint="eastAsia" w:ascii="仿宋" w:hAnsi="仿宋" w:eastAsia="仿宋" w:cs="仿宋"/>
          <w:kern w:val="0"/>
          <w:sz w:val="27"/>
          <w:szCs w:val="27"/>
          <w:u w:val="none"/>
        </w:rPr>
        <w:t>%</w:t>
      </w:r>
      <w:r>
        <w:rPr>
          <w:rFonts w:hint="eastAsia" w:ascii="仿宋" w:hAnsi="仿宋" w:eastAsia="仿宋" w:cs="仿宋"/>
          <w:kern w:val="0"/>
          <w:sz w:val="27"/>
          <w:szCs w:val="27"/>
          <w:u w:val="none"/>
          <w:lang w:val="en-US" w:eastAsia="zh-CN"/>
        </w:rPr>
        <w:t>变动原因</w:t>
      </w:r>
      <w:r>
        <w:rPr>
          <w:rFonts w:hint="eastAsia" w:ascii="仿宋" w:hAnsi="仿宋" w:eastAsia="仿宋" w:cs="仿宋"/>
          <w:kern w:val="0"/>
          <w:sz w:val="27"/>
          <w:szCs w:val="27"/>
          <w:u w:val="none"/>
        </w:rPr>
        <w:t>：</w:t>
      </w:r>
      <w:r>
        <w:rPr>
          <w:rFonts w:hint="eastAsia" w:ascii="仿宋" w:hAnsi="仿宋" w:eastAsia="仿宋" w:cs="仿宋"/>
          <w:kern w:val="0"/>
          <w:sz w:val="27"/>
          <w:szCs w:val="27"/>
          <w:lang w:val="en-US" w:eastAsia="zh-CN"/>
        </w:rPr>
        <w:t>一是减少对三座店引供水工程ppp项目第一运营年度基本水量不足部分补贴项目1075.83万元，2023年补贴2024年未补贴；二是赤峰市中心城区防洪及环城水系治理工程PPP项目可用性服务费较上年减少9985.52万元；</w:t>
      </w:r>
    </w:p>
    <w:p>
      <w:pPr>
        <w:widowControl/>
        <w:spacing w:before="240" w:after="240"/>
        <w:jc w:val="left"/>
        <w:rPr>
          <w:rFonts w:ascii="fang_song_gb2312" w:hAnsi="fang_song_gb2312" w:eastAsia="fang_song_gb2312" w:cs="fang_song_gb2312"/>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spacing w:beforeLines="0" w:afterLines="0" w:line="560" w:lineRule="exact"/>
        <w:ind w:firstLine="640"/>
        <w:jc w:val="both"/>
        <w:rPr>
          <w:rFonts w:hint="eastAsia"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一般公共预算既包括使用本年从本级财政取得的财政拨款发生的支出，也包括使用上年度财政拨款结转资金发生的支出。</w:t>
      </w:r>
    </w:p>
    <w:p>
      <w:pPr>
        <w:spacing w:beforeLines="0" w:afterLines="0" w:line="560" w:lineRule="exact"/>
        <w:ind w:firstLine="640"/>
        <w:jc w:val="both"/>
        <w:rPr>
          <w:rFonts w:hint="eastAsia" w:ascii="仿宋" w:hAnsi="仿宋" w:eastAsia="仿宋" w:cs="仿宋"/>
          <w:color w:val="auto"/>
          <w:kern w:val="2"/>
          <w:sz w:val="32"/>
          <w:szCs w:val="24"/>
          <w:u w:val="none"/>
        </w:rPr>
      </w:pPr>
      <w:r>
        <w:rPr>
          <w:rFonts w:hint="eastAsia" w:ascii="仿宋_GB2312" w:hAnsi="仿宋_GB2312" w:eastAsia="仿宋_GB2312"/>
          <w:color w:val="auto"/>
          <w:kern w:val="2"/>
          <w:sz w:val="32"/>
          <w:szCs w:val="24"/>
        </w:rPr>
        <w:t>赤峰市水利局(本级）单位202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rPr>
        <w:t>年度一般公共预算财政拨款支出决算</w:t>
      </w:r>
      <w:r>
        <w:rPr>
          <w:rFonts w:hint="eastAsia" w:ascii="仿宋" w:hAnsi="仿宋" w:eastAsia="仿宋" w:cs="仿宋"/>
          <w:kern w:val="0"/>
          <w:sz w:val="27"/>
          <w:szCs w:val="27"/>
          <w:u w:val="none"/>
        </w:rPr>
        <w:t xml:space="preserve"> </w:t>
      </w:r>
      <w:r>
        <w:rPr>
          <w:rFonts w:hint="eastAsia" w:ascii="仿宋" w:hAnsi="仿宋" w:eastAsia="仿宋" w:cs="仿宋"/>
          <w:kern w:val="0"/>
          <w:sz w:val="27"/>
          <w:szCs w:val="27"/>
          <w:u w:val="none"/>
          <w:lang w:val="en-US" w:eastAsia="zh-CN"/>
        </w:rPr>
        <w:t>39410.01</w:t>
      </w:r>
      <w:r>
        <w:rPr>
          <w:rFonts w:hint="eastAsia" w:ascii="仿宋" w:hAnsi="仿宋" w:eastAsia="仿宋" w:cs="仿宋"/>
          <w:color w:val="auto"/>
          <w:kern w:val="2"/>
          <w:sz w:val="32"/>
          <w:szCs w:val="24"/>
          <w:u w:val="none"/>
        </w:rPr>
        <w:t>万元。与年初预算</w:t>
      </w:r>
      <w:r>
        <w:rPr>
          <w:rFonts w:hint="eastAsia" w:ascii="仿宋" w:hAnsi="仿宋" w:eastAsia="仿宋" w:cs="仿宋"/>
          <w:color w:val="auto"/>
          <w:kern w:val="2"/>
          <w:sz w:val="32"/>
          <w:szCs w:val="24"/>
          <w:u w:val="none"/>
          <w:lang w:val="en-US" w:eastAsia="zh-CN"/>
        </w:rPr>
        <w:t>23719.35</w:t>
      </w:r>
      <w:r>
        <w:rPr>
          <w:rFonts w:hint="eastAsia" w:ascii="仿宋" w:hAnsi="仿宋" w:eastAsia="仿宋" w:cs="仿宋"/>
          <w:color w:val="auto"/>
          <w:kern w:val="2"/>
          <w:sz w:val="32"/>
          <w:szCs w:val="24"/>
          <w:u w:val="none"/>
        </w:rPr>
        <w:t>万元相比，完成年初预算的</w:t>
      </w:r>
      <w:r>
        <w:rPr>
          <w:rFonts w:hint="eastAsia" w:ascii="仿宋" w:hAnsi="仿宋" w:eastAsia="仿宋" w:cs="仿宋"/>
          <w:color w:val="auto"/>
          <w:kern w:val="2"/>
          <w:sz w:val="32"/>
          <w:szCs w:val="24"/>
          <w:u w:val="none"/>
          <w:lang w:val="en-US" w:eastAsia="zh-CN"/>
        </w:rPr>
        <w:t>166.15</w:t>
      </w:r>
      <w:r>
        <w:rPr>
          <w:rFonts w:hint="eastAsia" w:ascii="仿宋" w:hAnsi="仿宋" w:eastAsia="仿宋" w:cs="仿宋"/>
          <w:color w:val="auto"/>
          <w:kern w:val="2"/>
          <w:sz w:val="32"/>
          <w:szCs w:val="24"/>
          <w:u w:val="none"/>
        </w:rPr>
        <w:t>%。其中：</w:t>
      </w:r>
    </w:p>
    <w:p>
      <w:pPr>
        <w:tabs>
          <w:tab w:val="left" w:pos="4275"/>
        </w:tabs>
        <w:spacing w:beforeLines="0" w:after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（一）一般公共服务（类）</w:t>
      </w:r>
    </w:p>
    <w:p>
      <w:pPr>
        <w:spacing w:beforeLines="0" w:afterLines="0" w:line="560" w:lineRule="exact"/>
        <w:ind w:firstLine="640"/>
        <w:jc w:val="both"/>
        <w:rPr>
          <w:rFonts w:hint="eastAsia"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一般公共服务类决算数为</w:t>
      </w:r>
      <w:r>
        <w:rPr>
          <w:rFonts w:hint="eastAsia"/>
          <w:color w:val="auto"/>
          <w:kern w:val="2"/>
          <w:sz w:val="32"/>
          <w:szCs w:val="24"/>
          <w:u w:val="single"/>
          <w:lang w:val="en-US" w:eastAsia="zh-CN"/>
        </w:rPr>
        <w:t>5.83</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减少4.17</w:t>
      </w:r>
      <w:r>
        <w:rPr>
          <w:rFonts w:hint="eastAsia" w:ascii="仿宋_GB2312" w:hAnsi="仿宋_GB2312" w:eastAsia="仿宋_GB2312"/>
          <w:color w:val="auto"/>
          <w:kern w:val="2"/>
          <w:sz w:val="32"/>
          <w:szCs w:val="24"/>
        </w:rPr>
        <w:t>万元。其中：</w:t>
      </w:r>
    </w:p>
    <w:p>
      <w:pPr>
        <w:spacing w:beforeLines="0" w:afterLines="0" w:line="560" w:lineRule="exact"/>
        <w:ind w:firstLine="640"/>
        <w:jc w:val="both"/>
        <w:rPr>
          <w:rFonts w:hint="default" w:ascii="Times New Roman" w:hAnsi="Times New Roman" w:eastAsia="Times New Roman"/>
          <w:color w:val="auto"/>
          <w:kern w:val="2"/>
          <w:sz w:val="32"/>
          <w:szCs w:val="24"/>
          <w:lang w:val="en-US"/>
        </w:rPr>
      </w:pPr>
      <w:r>
        <w:rPr>
          <w:rFonts w:hint="eastAsia"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．商贸事务（款）招商引资（项）。年初预算</w:t>
      </w:r>
      <w:r>
        <w:rPr>
          <w:rFonts w:hint="eastAsia" w:ascii="宋体"/>
          <w:color w:val="auto"/>
          <w:kern w:val="2"/>
          <w:sz w:val="32"/>
          <w:szCs w:val="24"/>
          <w:u w:val="single"/>
          <w:lang w:val="en-US" w:eastAsia="zh-CN"/>
        </w:rPr>
        <w:t>10</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1.83</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18.3</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招商引资公务接待和租车使用都压减支出，进一步优化营商环境，节约财政资金办大事。</w:t>
      </w:r>
    </w:p>
    <w:p>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．组织事务（款）其他组织事务支出（项）。年初预算</w:t>
      </w:r>
      <w:r>
        <w:rPr>
          <w:rFonts w:hint="eastAsia" w:ascii="宋体" w:hAnsi="Times New Roman"/>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4</w:t>
      </w:r>
      <w:r>
        <w:rPr>
          <w:rFonts w:hint="eastAsia" w:ascii="仿宋_GB2312" w:hAnsi="仿宋_GB2312" w:eastAsia="仿宋_GB2312"/>
          <w:color w:val="auto"/>
          <w:kern w:val="2"/>
          <w:sz w:val="32"/>
          <w:szCs w:val="24"/>
        </w:rPr>
        <w:t>万元，完成年初预算的</w:t>
      </w:r>
      <w:r>
        <w:rPr>
          <w:rFonts w:hint="eastAsia" w:ascii="宋体" w:hAnsi="Times New Roman"/>
          <w:color w:val="auto"/>
          <w:kern w:val="2"/>
          <w:sz w:val="32"/>
          <w:szCs w:val="24"/>
          <w:u w:val="single"/>
          <w:lang w:val="en-US" w:eastAsia="zh-CN"/>
        </w:rPr>
        <w:t>100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本年度追加支付定向选调生经济补助经费</w:t>
      </w:r>
      <w:r>
        <w:rPr>
          <w:rFonts w:hint="eastAsia" w:ascii="仿宋_GB2312" w:hAnsi="仿宋_GB2312" w:eastAsia="仿宋_GB2312"/>
          <w:color w:val="auto"/>
          <w:kern w:val="2"/>
          <w:sz w:val="32"/>
          <w:szCs w:val="24"/>
        </w:rPr>
        <w:t>。</w:t>
      </w:r>
    </w:p>
    <w:p>
      <w:pPr>
        <w:tabs>
          <w:tab w:val="left" w:pos="4275"/>
        </w:tabs>
        <w:spacing w:beforeLines="0" w:afterLines="0" w:line="560" w:lineRule="exact"/>
        <w:ind w:firstLine="643"/>
        <w:jc w:val="both"/>
        <w:rPr>
          <w:rFonts w:hint="eastAsia" w:ascii="楷体" w:hAnsi="楷体" w:eastAsia="楷体"/>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二</w:t>
      </w:r>
      <w:r>
        <w:rPr>
          <w:rFonts w:hint="eastAsia" w:ascii="楷体" w:hAnsi="楷体" w:eastAsia="楷体"/>
          <w:b/>
          <w:color w:val="auto"/>
          <w:kern w:val="2"/>
          <w:sz w:val="32"/>
          <w:szCs w:val="24"/>
        </w:rPr>
        <w:t>）社会保障和就业支出（类）</w:t>
      </w:r>
    </w:p>
    <w:p>
      <w:pPr>
        <w:spacing w:beforeLines="0" w:afterLines="0" w:line="560" w:lineRule="exact"/>
        <w:ind w:firstLine="640"/>
        <w:jc w:val="both"/>
        <w:rPr>
          <w:rFonts w:hint="eastAsia" w:ascii="楷体" w:hAnsi="楷体" w:eastAsia="楷体"/>
          <w:b/>
          <w:color w:val="auto"/>
          <w:kern w:val="2"/>
          <w:sz w:val="32"/>
          <w:szCs w:val="24"/>
        </w:rPr>
      </w:pPr>
      <w:r>
        <w:rPr>
          <w:rFonts w:hint="eastAsia" w:ascii="仿宋_GB2312" w:hAnsi="仿宋_GB2312" w:eastAsia="仿宋_GB2312"/>
          <w:color w:val="auto"/>
          <w:kern w:val="2"/>
          <w:sz w:val="32"/>
          <w:szCs w:val="24"/>
          <w:lang w:val="en-US" w:eastAsia="zh-CN"/>
        </w:rPr>
        <w:t>社会保障和就业支出类</w:t>
      </w:r>
      <w:r>
        <w:rPr>
          <w:rFonts w:hint="eastAsia" w:ascii="仿宋_GB2312" w:hAnsi="仿宋_GB2312" w:eastAsia="仿宋_GB2312"/>
          <w:color w:val="auto"/>
          <w:kern w:val="2"/>
          <w:sz w:val="32"/>
          <w:szCs w:val="24"/>
        </w:rPr>
        <w:t>决算数为</w:t>
      </w:r>
      <w:r>
        <w:rPr>
          <w:rFonts w:hint="eastAsia" w:ascii="仿宋_GB2312" w:hAnsi="仿宋_GB2312" w:eastAsia="仿宋_GB2312"/>
          <w:color w:val="auto"/>
          <w:kern w:val="2"/>
          <w:sz w:val="32"/>
          <w:szCs w:val="24"/>
          <w:lang w:val="en-US" w:eastAsia="zh-CN"/>
        </w:rPr>
        <w:t>139.37</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增加26.05万元</w:t>
      </w:r>
      <w:r>
        <w:rPr>
          <w:rFonts w:hint="eastAsia" w:ascii="仿宋_GB2312" w:hAnsi="仿宋_GB2312" w:eastAsia="仿宋_GB2312"/>
          <w:color w:val="auto"/>
          <w:kern w:val="2"/>
          <w:sz w:val="32"/>
          <w:szCs w:val="24"/>
        </w:rPr>
        <w:t>。其中：</w:t>
      </w:r>
    </w:p>
    <w:p>
      <w:pPr>
        <w:spacing w:beforeLines="0" w:afterLines="0" w:line="560" w:lineRule="exact"/>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行政事业单位养老支出（款）行政单位离退休（项）。年初预算</w:t>
      </w:r>
      <w:r>
        <w:rPr>
          <w:rFonts w:hint="eastAsia" w:ascii="宋体"/>
          <w:color w:val="auto"/>
          <w:kern w:val="2"/>
          <w:sz w:val="32"/>
          <w:szCs w:val="24"/>
          <w:u w:val="single"/>
          <w:lang w:val="en-US" w:eastAsia="zh-CN"/>
        </w:rPr>
        <w:t>60.94</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60.94</w:t>
      </w:r>
      <w:r>
        <w:rPr>
          <w:rFonts w:hint="eastAsia" w:ascii="仿宋_GB2312" w:hAnsi="仿宋_GB2312" w:eastAsia="仿宋_GB2312"/>
          <w:color w:val="auto"/>
          <w:kern w:val="2"/>
          <w:sz w:val="32"/>
          <w:szCs w:val="24"/>
        </w:rPr>
        <w:t>万元，完成年初预算的</w:t>
      </w:r>
      <w:r>
        <w:rPr>
          <w:rFonts w:hint="eastAsia" w:ascii="宋体" w:hAnsi="Times New Roman" w:eastAsia="宋体"/>
          <w:color w:val="auto"/>
          <w:kern w:val="2"/>
          <w:sz w:val="32"/>
          <w:szCs w:val="24"/>
          <w:u w:val="single"/>
          <w:lang w:val="en-US" w:eastAsia="zh-CN"/>
        </w:rPr>
        <w:t>100</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不存在差异。</w:t>
      </w:r>
    </w:p>
    <w:p>
      <w:pPr>
        <w:spacing w:beforeLines="0" w:afterLines="0" w:line="560" w:lineRule="exact"/>
        <w:ind w:firstLine="640"/>
        <w:jc w:val="both"/>
        <w:rPr>
          <w:rFonts w:hint="eastAsia"/>
        </w:rPr>
      </w:pP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rPr>
        <w:t>行政事业单位养老支出（款） 机关事业单位基本养老保险缴费支出（项）。年初预算</w:t>
      </w:r>
      <w:r>
        <w:rPr>
          <w:rFonts w:hint="eastAsia" w:ascii="宋体"/>
          <w:color w:val="auto"/>
          <w:kern w:val="2"/>
          <w:sz w:val="32"/>
          <w:szCs w:val="24"/>
          <w:u w:val="single"/>
          <w:lang w:val="en-US" w:eastAsia="zh-CN"/>
        </w:rPr>
        <w:t>50.04</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38.91</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77.76</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存在差异的原因是2024年在职1人退休。相应的</w:t>
      </w:r>
      <w:r>
        <w:rPr>
          <w:rFonts w:hint="eastAsia" w:ascii="仿宋_GB2312" w:hAnsi="仿宋_GB2312" w:eastAsia="仿宋_GB2312"/>
          <w:color w:val="auto"/>
          <w:kern w:val="2"/>
          <w:sz w:val="32"/>
          <w:szCs w:val="24"/>
        </w:rPr>
        <w:t>基本养老保险缴费</w:t>
      </w:r>
      <w:r>
        <w:rPr>
          <w:rFonts w:hint="eastAsia" w:ascii="仿宋_GB2312" w:hAnsi="仿宋_GB2312" w:eastAsia="仿宋_GB2312"/>
          <w:color w:val="auto"/>
          <w:kern w:val="2"/>
          <w:sz w:val="32"/>
          <w:szCs w:val="24"/>
          <w:lang w:val="en-US" w:eastAsia="zh-CN"/>
        </w:rPr>
        <w:t>支出减少</w:t>
      </w:r>
      <w:r>
        <w:rPr>
          <w:rFonts w:hint="eastAsia" w:ascii="仿宋_GB2312" w:hAnsi="仿宋_GB2312" w:eastAsia="仿宋_GB2312" w:cs="Times New Roman"/>
          <w:color w:val="auto"/>
          <w:kern w:val="2"/>
          <w:sz w:val="32"/>
          <w:szCs w:val="24"/>
        </w:rPr>
        <w:t>。</w:t>
      </w:r>
    </w:p>
    <w:p>
      <w:pPr>
        <w:numPr>
          <w:ilvl w:val="0"/>
          <w:numId w:val="0"/>
        </w:numPr>
        <w:spacing w:beforeLines="0" w:afterLines="0" w:line="560" w:lineRule="exact"/>
        <w:ind w:firstLine="640" w:firstLineChars="200"/>
        <w:jc w:val="both"/>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olor w:val="auto"/>
          <w:kern w:val="2"/>
          <w:sz w:val="32"/>
          <w:szCs w:val="24"/>
          <w:lang w:val="en-US" w:eastAsia="zh-CN"/>
        </w:rPr>
        <w:t>3.行政事业单位养老支出</w:t>
      </w:r>
      <w:r>
        <w:rPr>
          <w:rFonts w:hint="eastAsia" w:ascii="仿宋_GB2312" w:hAnsi="仿宋_GB2312" w:eastAsia="仿宋_GB2312"/>
          <w:color w:val="auto"/>
          <w:kern w:val="2"/>
          <w:sz w:val="32"/>
          <w:szCs w:val="24"/>
        </w:rPr>
        <w:t>（款）机关事业单位职业年金缴费支出（项）年初预算</w:t>
      </w:r>
      <w:r>
        <w:rPr>
          <w:rFonts w:hint="eastAsia" w:ascii="宋体"/>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11.18</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100</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存在差异的原因是2024年在职1人退休、1人调走，涉及相应的职业年金虚账做实追加资金。</w:t>
      </w:r>
    </w:p>
    <w:p>
      <w:pPr>
        <w:numPr>
          <w:ilvl w:val="0"/>
          <w:numId w:val="0"/>
        </w:numPr>
        <w:spacing w:beforeLines="0" w:afterLines="0" w:line="560" w:lineRule="exact"/>
        <w:ind w:firstLine="640" w:firstLineChars="20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olor w:val="auto"/>
          <w:kern w:val="2"/>
          <w:sz w:val="32"/>
          <w:szCs w:val="24"/>
          <w:lang w:val="en-US" w:eastAsia="zh-CN"/>
        </w:rPr>
        <w:t>4.抚恤</w:t>
      </w:r>
      <w:r>
        <w:rPr>
          <w:rFonts w:hint="eastAsia" w:ascii="仿宋_GB2312" w:hAnsi="仿宋_GB2312" w:eastAsia="仿宋_GB2312"/>
          <w:color w:val="auto"/>
          <w:kern w:val="2"/>
          <w:sz w:val="32"/>
          <w:szCs w:val="24"/>
        </w:rPr>
        <w:t>（款）死亡抚恤（项）。年初预算</w:t>
      </w:r>
      <w:r>
        <w:rPr>
          <w:rFonts w:hint="eastAsia" w:ascii="宋体"/>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27.63</w:t>
      </w:r>
      <w:r>
        <w:rPr>
          <w:rFonts w:hint="eastAsia" w:ascii="仿宋_GB2312" w:hAnsi="仿宋_GB2312" w:eastAsia="仿宋_GB2312"/>
          <w:color w:val="auto"/>
          <w:kern w:val="2"/>
          <w:sz w:val="32"/>
          <w:szCs w:val="24"/>
        </w:rPr>
        <w:t>万元，完成年初预算的</w:t>
      </w:r>
      <w:r>
        <w:rPr>
          <w:rFonts w:hint="eastAsia" w:ascii="宋体" w:hAnsi="Times New Roman" w:eastAsia="宋体"/>
          <w:color w:val="auto"/>
          <w:kern w:val="2"/>
          <w:sz w:val="32"/>
          <w:szCs w:val="24"/>
          <w:u w:val="single"/>
          <w:lang w:val="en-US" w:eastAsia="zh-CN"/>
        </w:rPr>
        <w:t>100</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存在差异的原因是2024年退休1人去世，追加支付的抚恤金</w:t>
      </w:r>
      <w:r>
        <w:rPr>
          <w:rFonts w:hint="eastAsia" w:ascii="仿宋_GB2312" w:hAnsi="仿宋_GB2312" w:eastAsia="仿宋_GB2312" w:cs="Times New Roman"/>
          <w:color w:val="auto"/>
          <w:kern w:val="2"/>
          <w:sz w:val="32"/>
          <w:szCs w:val="24"/>
        </w:rPr>
        <w:t>。</w:t>
      </w:r>
    </w:p>
    <w:p>
      <w:pPr>
        <w:spacing w:beforeLines="0" w:afterLines="0" w:line="560" w:lineRule="exact"/>
        <w:ind w:firstLine="640"/>
        <w:jc w:val="both"/>
        <w:rPr>
          <w:rFonts w:hint="eastAsia" w:eastAsia="仿宋_GB2312"/>
          <w:lang w:val="en-US" w:eastAsia="zh-CN"/>
        </w:rPr>
      </w:pPr>
      <w:r>
        <w:rPr>
          <w:rFonts w:hint="eastAsia" w:ascii="仿宋_GB2312" w:hAnsi="仿宋_GB2312" w:eastAsia="仿宋_GB2312" w:cs="Times New Roman"/>
          <w:color w:val="auto"/>
          <w:kern w:val="2"/>
          <w:sz w:val="32"/>
          <w:szCs w:val="24"/>
          <w:lang w:val="en-US" w:eastAsia="zh-CN"/>
        </w:rPr>
        <w:t>5.其他社会保障和就业支出</w:t>
      </w:r>
      <w:r>
        <w:rPr>
          <w:rFonts w:hint="eastAsia" w:ascii="仿宋_GB2312" w:hAnsi="仿宋_GB2312" w:eastAsia="仿宋_GB2312"/>
          <w:color w:val="auto"/>
          <w:kern w:val="2"/>
          <w:sz w:val="32"/>
          <w:szCs w:val="24"/>
        </w:rPr>
        <w:t>（款）其他社会保障和就业支出（项）</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年初预算</w:t>
      </w:r>
      <w:r>
        <w:rPr>
          <w:rFonts w:hint="eastAsia" w:ascii="宋体"/>
          <w:color w:val="auto"/>
          <w:kern w:val="2"/>
          <w:sz w:val="32"/>
          <w:szCs w:val="24"/>
          <w:u w:val="single"/>
          <w:lang w:val="en-US" w:eastAsia="zh-CN"/>
        </w:rPr>
        <w:t>0.85</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0.71</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83.53</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存在差异的原因是2024年在职1人退休，相应的</w:t>
      </w:r>
      <w:r>
        <w:rPr>
          <w:rFonts w:hint="eastAsia" w:ascii="仿宋_GB2312" w:hAnsi="仿宋_GB2312" w:eastAsia="仿宋_GB2312"/>
          <w:color w:val="auto"/>
          <w:kern w:val="2"/>
          <w:sz w:val="32"/>
          <w:szCs w:val="24"/>
        </w:rPr>
        <w:t>其他社会保障和就业支出</w:t>
      </w:r>
      <w:r>
        <w:rPr>
          <w:rFonts w:hint="eastAsia" w:ascii="仿宋_GB2312" w:hAnsi="仿宋_GB2312" w:eastAsia="仿宋_GB2312"/>
          <w:color w:val="auto"/>
          <w:kern w:val="2"/>
          <w:sz w:val="32"/>
          <w:szCs w:val="24"/>
          <w:lang w:val="en-US" w:eastAsia="zh-CN"/>
        </w:rPr>
        <w:t>减少</w:t>
      </w:r>
      <w:r>
        <w:rPr>
          <w:rFonts w:hint="eastAsia" w:ascii="仿宋_GB2312" w:hAnsi="仿宋_GB2312" w:eastAsia="仿宋_GB2312" w:cs="Times New Roman"/>
          <w:color w:val="auto"/>
          <w:kern w:val="2"/>
          <w:sz w:val="32"/>
          <w:szCs w:val="24"/>
        </w:rPr>
        <w:t>。</w:t>
      </w:r>
    </w:p>
    <w:p>
      <w:pPr>
        <w:tabs>
          <w:tab w:val="left" w:pos="4275"/>
        </w:tabs>
        <w:spacing w:beforeLines="0" w:after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三</w:t>
      </w:r>
      <w:r>
        <w:rPr>
          <w:rFonts w:hint="eastAsia" w:ascii="楷体" w:hAnsi="楷体" w:eastAsia="楷体"/>
          <w:b/>
          <w:color w:val="auto"/>
          <w:kern w:val="2"/>
          <w:sz w:val="32"/>
          <w:szCs w:val="24"/>
        </w:rPr>
        <w:t>）卫生健康支出（类）</w:t>
      </w:r>
    </w:p>
    <w:p>
      <w:pPr>
        <w:spacing w:beforeLines="0" w:afterLines="0" w:line="560" w:lineRule="exact"/>
        <w:ind w:firstLine="640"/>
        <w:jc w:val="both"/>
        <w:rPr>
          <w:rFonts w:hint="eastAsia"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卫生健康支出类决算数为</w:t>
      </w:r>
      <w:r>
        <w:rPr>
          <w:rFonts w:hint="eastAsia"/>
          <w:color w:val="auto"/>
          <w:kern w:val="2"/>
          <w:sz w:val="32"/>
          <w:szCs w:val="24"/>
          <w:u w:val="single"/>
          <w:lang w:val="en-US" w:eastAsia="zh-CN"/>
        </w:rPr>
        <w:t>23.98</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减少2.73万元</w:t>
      </w:r>
      <w:r>
        <w:rPr>
          <w:rFonts w:hint="eastAsia" w:ascii="仿宋_GB2312" w:hAnsi="仿宋_GB2312" w:eastAsia="仿宋_GB2312"/>
          <w:color w:val="auto"/>
          <w:kern w:val="2"/>
          <w:sz w:val="32"/>
          <w:szCs w:val="24"/>
        </w:rPr>
        <w:t>。其中：</w:t>
      </w:r>
    </w:p>
    <w:p>
      <w:pPr>
        <w:spacing w:beforeLines="0" w:afterLines="0" w:line="560" w:lineRule="exact"/>
        <w:ind w:firstLine="640"/>
        <w:jc w:val="both"/>
        <w:rPr>
          <w:rFonts w:hint="eastAsia" w:eastAsia="仿宋_GB2312"/>
          <w:lang w:val="en-US" w:eastAsia="zh-CN"/>
        </w:rPr>
      </w:pP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行政事业单位医疗（款）行政单位医疗（项）。年初预算</w:t>
      </w:r>
      <w:r>
        <w:rPr>
          <w:rFonts w:hint="eastAsia" w:ascii="宋体"/>
          <w:color w:val="auto"/>
          <w:kern w:val="2"/>
          <w:sz w:val="32"/>
          <w:szCs w:val="24"/>
          <w:u w:val="single"/>
          <w:lang w:val="en-US" w:eastAsia="zh-CN"/>
        </w:rPr>
        <w:t>26.71</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23.11</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86.52</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存在差异的原因是2024年在职1人退休，相应的</w:t>
      </w:r>
      <w:r>
        <w:rPr>
          <w:rFonts w:hint="eastAsia" w:ascii="仿宋_GB2312" w:hAnsi="仿宋_GB2312" w:eastAsia="仿宋_GB2312"/>
          <w:color w:val="auto"/>
          <w:kern w:val="2"/>
          <w:sz w:val="32"/>
          <w:szCs w:val="24"/>
        </w:rPr>
        <w:t>行政单位医疗支出</w:t>
      </w:r>
      <w:r>
        <w:rPr>
          <w:rFonts w:hint="eastAsia" w:ascii="仿宋_GB2312" w:hAnsi="仿宋_GB2312" w:eastAsia="仿宋_GB2312"/>
          <w:color w:val="auto"/>
          <w:kern w:val="2"/>
          <w:sz w:val="32"/>
          <w:szCs w:val="24"/>
          <w:lang w:val="en-US" w:eastAsia="zh-CN"/>
        </w:rPr>
        <w:t>减少</w:t>
      </w:r>
      <w:r>
        <w:rPr>
          <w:rFonts w:hint="eastAsia" w:ascii="仿宋_GB2312" w:hAnsi="仿宋_GB2312" w:eastAsia="仿宋_GB2312" w:cs="Times New Roman"/>
          <w:color w:val="auto"/>
          <w:kern w:val="2"/>
          <w:sz w:val="32"/>
          <w:szCs w:val="24"/>
        </w:rPr>
        <w:t>。</w:t>
      </w:r>
    </w:p>
    <w:p>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rPr>
        <w:t>行政事业单位医疗（款）公务员医疗补助（项）。年初预算</w:t>
      </w:r>
      <w:r>
        <w:rPr>
          <w:rFonts w:hint="eastAsia"/>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0.87</w:t>
      </w:r>
      <w:r>
        <w:rPr>
          <w:rFonts w:hint="eastAsia" w:ascii="仿宋_GB2312" w:hAnsi="仿宋_GB2312" w:eastAsia="仿宋_GB2312"/>
          <w:color w:val="auto"/>
          <w:kern w:val="2"/>
          <w:sz w:val="32"/>
          <w:szCs w:val="24"/>
        </w:rPr>
        <w:t>万元，完成年初预算的</w:t>
      </w:r>
      <w:r>
        <w:rPr>
          <w:rFonts w:hint="eastAsia" w:ascii="宋体" w:hAnsi="Times New Roman" w:eastAsia="宋体"/>
          <w:color w:val="auto"/>
          <w:kern w:val="2"/>
          <w:sz w:val="32"/>
          <w:szCs w:val="24"/>
          <w:u w:val="single"/>
          <w:lang w:val="en-US" w:eastAsia="zh-CN"/>
        </w:rPr>
        <w:t>100</w:t>
      </w:r>
      <w:r>
        <w:rPr>
          <w:rFonts w:hint="eastAsia" w:ascii="Times New Roman" w:hAnsi="Times New Roman" w:eastAsia="Times New Roman"/>
          <w:color w:val="auto"/>
          <w:kern w:val="2"/>
          <w:sz w:val="32"/>
          <w:szCs w:val="24"/>
          <w:u w:val="single"/>
        </w:rPr>
        <w:t xml:space="preserve"> </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存在差异的原因是2024年追加支付相应的</w:t>
      </w:r>
      <w:r>
        <w:rPr>
          <w:rFonts w:hint="eastAsia" w:ascii="仿宋_GB2312" w:hAnsi="仿宋_GB2312" w:eastAsia="仿宋_GB2312"/>
          <w:color w:val="auto"/>
          <w:kern w:val="2"/>
          <w:sz w:val="32"/>
          <w:szCs w:val="24"/>
        </w:rPr>
        <w:t>公务员医疗补助</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lang w:val="en-US" w:eastAsia="zh-CN"/>
        </w:rPr>
        <w:t>对应的</w:t>
      </w:r>
      <w:r>
        <w:rPr>
          <w:rFonts w:hint="eastAsia" w:ascii="仿宋_GB2312" w:hAnsi="仿宋_GB2312" w:eastAsia="仿宋_GB2312"/>
          <w:color w:val="auto"/>
          <w:kern w:val="2"/>
          <w:sz w:val="32"/>
          <w:szCs w:val="24"/>
        </w:rPr>
        <w:t>公务员医疗补助支出</w:t>
      </w:r>
      <w:r>
        <w:rPr>
          <w:rFonts w:hint="eastAsia" w:ascii="仿宋_GB2312" w:hAnsi="仿宋_GB2312" w:eastAsia="仿宋_GB2312"/>
          <w:color w:val="auto"/>
          <w:kern w:val="2"/>
          <w:sz w:val="32"/>
          <w:szCs w:val="24"/>
          <w:lang w:val="en-US" w:eastAsia="zh-CN"/>
        </w:rPr>
        <w:t>增加</w:t>
      </w:r>
      <w:r>
        <w:rPr>
          <w:rFonts w:hint="eastAsia" w:ascii="仿宋_GB2312" w:hAnsi="仿宋_GB2312" w:eastAsia="仿宋_GB2312" w:cs="Times New Roman"/>
          <w:color w:val="auto"/>
          <w:kern w:val="2"/>
          <w:sz w:val="32"/>
          <w:szCs w:val="24"/>
        </w:rPr>
        <w:t>。</w:t>
      </w:r>
    </w:p>
    <w:p>
      <w:pPr>
        <w:tabs>
          <w:tab w:val="left" w:pos="4275"/>
        </w:tabs>
        <w:spacing w:beforeLines="0" w:afterLines="0" w:line="560" w:lineRule="exact"/>
        <w:ind w:firstLine="643"/>
        <w:jc w:val="both"/>
        <w:rPr>
          <w:rFonts w:hint="eastAsia" w:ascii="楷体" w:hAnsi="楷体" w:eastAsia="楷体"/>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四</w:t>
      </w:r>
      <w:r>
        <w:rPr>
          <w:rFonts w:hint="eastAsia" w:ascii="楷体" w:hAnsi="楷体" w:eastAsia="楷体"/>
          <w:b/>
          <w:color w:val="auto"/>
          <w:kern w:val="2"/>
          <w:sz w:val="32"/>
          <w:szCs w:val="24"/>
        </w:rPr>
        <w:t>）农林水（类）</w:t>
      </w:r>
    </w:p>
    <w:p>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lang w:val="en-US" w:eastAsia="zh-CN"/>
        </w:rPr>
        <w:t>农林水类</w:t>
      </w:r>
      <w:r>
        <w:rPr>
          <w:rFonts w:hint="eastAsia" w:ascii="仿宋_GB2312" w:hAnsi="仿宋_GB2312" w:eastAsia="仿宋_GB2312"/>
          <w:color w:val="auto"/>
          <w:kern w:val="2"/>
          <w:sz w:val="32"/>
          <w:szCs w:val="24"/>
        </w:rPr>
        <w:t>支出决算数为</w:t>
      </w:r>
      <w:r>
        <w:rPr>
          <w:rFonts w:hint="eastAsia" w:ascii="Times New Roman" w:hAnsi="Times New Roman"/>
          <w:color w:val="auto"/>
          <w:kern w:val="2"/>
          <w:sz w:val="32"/>
          <w:szCs w:val="24"/>
          <w:u w:val="single"/>
          <w:lang w:val="en-US" w:eastAsia="zh-CN"/>
        </w:rPr>
        <w:t>39208.79</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增加15684.48万元</w:t>
      </w:r>
      <w:r>
        <w:rPr>
          <w:rFonts w:hint="eastAsia" w:ascii="仿宋_GB2312" w:hAnsi="仿宋_GB2312" w:eastAsia="仿宋_GB2312"/>
          <w:color w:val="auto"/>
          <w:kern w:val="2"/>
          <w:sz w:val="32"/>
          <w:szCs w:val="24"/>
        </w:rPr>
        <w:t>。其中：</w:t>
      </w:r>
    </w:p>
    <w:p>
      <w:pPr>
        <w:spacing w:beforeLines="0" w:afterLines="0" w:line="560" w:lineRule="exact"/>
        <w:ind w:firstLine="640"/>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1.水利</w:t>
      </w:r>
      <w:r>
        <w:rPr>
          <w:rFonts w:hint="eastAsia" w:ascii="仿宋_GB2312" w:hAnsi="仿宋_GB2312" w:eastAsia="仿宋_GB2312"/>
          <w:color w:val="auto"/>
          <w:kern w:val="2"/>
          <w:sz w:val="32"/>
          <w:szCs w:val="24"/>
        </w:rPr>
        <w:t>（款）行政</w:t>
      </w:r>
      <w:r>
        <w:rPr>
          <w:rFonts w:hint="eastAsia" w:ascii="仿宋_GB2312" w:hAnsi="仿宋_GB2312" w:eastAsia="仿宋_GB2312"/>
          <w:color w:val="auto"/>
          <w:kern w:val="2"/>
          <w:sz w:val="32"/>
          <w:szCs w:val="24"/>
          <w:lang w:val="en-US" w:eastAsia="zh-CN"/>
        </w:rPr>
        <w:t>运行</w:t>
      </w:r>
      <w:r>
        <w:rPr>
          <w:rFonts w:hint="eastAsia" w:ascii="仿宋_GB2312" w:hAnsi="仿宋_GB2312" w:eastAsia="仿宋_GB2312"/>
          <w:color w:val="auto"/>
          <w:kern w:val="2"/>
          <w:sz w:val="32"/>
          <w:szCs w:val="24"/>
        </w:rPr>
        <w:t>（项）。年初预算</w:t>
      </w:r>
      <w:r>
        <w:rPr>
          <w:rFonts w:hint="eastAsia" w:ascii="宋体"/>
          <w:color w:val="auto"/>
          <w:kern w:val="2"/>
          <w:sz w:val="32"/>
          <w:szCs w:val="24"/>
          <w:u w:val="single"/>
          <w:lang w:val="en-US" w:eastAsia="zh-CN"/>
        </w:rPr>
        <w:t>533.69</w:t>
      </w:r>
      <w:r>
        <w:rPr>
          <w:rFonts w:hint="eastAsia" w:ascii="仿宋_GB2312" w:hAnsi="仿宋_GB2312" w:eastAsia="仿宋_GB2312"/>
          <w:color w:val="auto"/>
          <w:kern w:val="2"/>
          <w:sz w:val="32"/>
          <w:szCs w:val="24"/>
        </w:rPr>
        <w:t>万元，支出决算</w:t>
      </w:r>
      <w:r>
        <w:rPr>
          <w:rFonts w:hint="eastAsia" w:ascii="宋体" w:hAnsi="Times New Roman"/>
          <w:color w:val="auto"/>
          <w:kern w:val="2"/>
          <w:sz w:val="32"/>
          <w:szCs w:val="24"/>
          <w:u w:val="single"/>
          <w:lang w:val="en-US" w:eastAsia="zh-CN"/>
        </w:rPr>
        <w:t>457.73</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85.77</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2024年水利机关进一步压减行政运行经费支出，机关历行节约反对浪费，节约财政资金办大事。</w:t>
      </w:r>
    </w:p>
    <w:p>
      <w:pPr>
        <w:numPr>
          <w:ilvl w:val="0"/>
          <w:numId w:val="0"/>
        </w:numPr>
        <w:spacing w:beforeLines="0" w:afterLines="0" w:line="560" w:lineRule="exact"/>
        <w:ind w:firstLine="640" w:firstLineChars="200"/>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2.水利</w:t>
      </w:r>
      <w:r>
        <w:rPr>
          <w:rFonts w:hint="eastAsia" w:ascii="仿宋_GB2312" w:hAnsi="仿宋_GB2312" w:eastAsia="仿宋_GB2312"/>
          <w:color w:val="auto"/>
          <w:kern w:val="2"/>
          <w:sz w:val="32"/>
          <w:szCs w:val="24"/>
        </w:rPr>
        <w:t>（款）水利行业业务管理（项）年初预算</w:t>
      </w:r>
      <w:r>
        <w:rPr>
          <w:rFonts w:hint="eastAsia" w:ascii="宋体"/>
          <w:color w:val="auto"/>
          <w:kern w:val="2"/>
          <w:sz w:val="32"/>
          <w:szCs w:val="24"/>
          <w:u w:val="single"/>
          <w:lang w:val="en-US" w:eastAsia="zh-CN"/>
        </w:rPr>
        <w:t>55.92</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70.94</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126.86</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追加支付赤峰市河湖岸线电子一张图项目尾款，导致决算支出大于年初预算。</w:t>
      </w:r>
    </w:p>
    <w:p>
      <w:pPr>
        <w:spacing w:beforeLines="0" w:afterLines="0" w:line="560" w:lineRule="exact"/>
        <w:ind w:firstLine="640"/>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3.水利</w:t>
      </w:r>
      <w:r>
        <w:rPr>
          <w:rFonts w:hint="eastAsia" w:ascii="仿宋_GB2312" w:hAnsi="仿宋_GB2312" w:eastAsia="仿宋_GB2312"/>
          <w:color w:val="auto"/>
          <w:kern w:val="2"/>
          <w:sz w:val="32"/>
          <w:szCs w:val="24"/>
        </w:rPr>
        <w:t>（款）水利工程建设（项）年初预算</w:t>
      </w:r>
      <w:r>
        <w:rPr>
          <w:rFonts w:hint="eastAsia" w:ascii="宋体"/>
          <w:color w:val="auto"/>
          <w:kern w:val="2"/>
          <w:sz w:val="32"/>
          <w:szCs w:val="24"/>
          <w:u w:val="single"/>
          <w:lang w:val="en-US" w:eastAsia="zh-CN"/>
        </w:rPr>
        <w:t>2000</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4096.44</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204.82</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一是追加支付</w:t>
      </w:r>
      <w:r>
        <w:rPr>
          <w:rFonts w:hint="eastAsia" w:ascii="仿宋_GB2312" w:hAnsi="仿宋_GB2312" w:eastAsia="仿宋_GB2312"/>
          <w:color w:val="auto"/>
          <w:kern w:val="2"/>
          <w:sz w:val="32"/>
          <w:szCs w:val="24"/>
        </w:rPr>
        <w:t>赤峰市中心城区防洪及环城水系治理工程PPP项目第三笔建设期利息</w:t>
      </w:r>
      <w:r>
        <w:rPr>
          <w:rFonts w:hint="eastAsia" w:ascii="仿宋_GB2312" w:hAnsi="仿宋_GB2312" w:eastAsia="仿宋_GB2312"/>
          <w:color w:val="auto"/>
          <w:kern w:val="2"/>
          <w:sz w:val="32"/>
          <w:szCs w:val="24"/>
          <w:lang w:val="en-US" w:eastAsia="zh-CN"/>
        </w:rPr>
        <w:t>2000万元；二是追加支付大石门水库东台子水库赤峰中心城区引供水工程前期费79.35万元；三是追加支付水网建设规划编制项目17.09万元。</w:t>
      </w:r>
    </w:p>
    <w:p>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lang w:val="en-US" w:eastAsia="zh-CN"/>
        </w:rPr>
        <w:t>4.水利</w:t>
      </w:r>
      <w:r>
        <w:rPr>
          <w:rFonts w:hint="eastAsia" w:ascii="仿宋_GB2312" w:hAnsi="仿宋_GB2312" w:eastAsia="仿宋_GB2312"/>
          <w:color w:val="auto"/>
          <w:kern w:val="2"/>
          <w:sz w:val="32"/>
          <w:szCs w:val="24"/>
        </w:rPr>
        <w:t>（款）水利工程运行与维护（项）年初预算</w:t>
      </w:r>
      <w:r>
        <w:rPr>
          <w:rFonts w:hint="eastAsia" w:ascii="宋体"/>
          <w:color w:val="auto"/>
          <w:kern w:val="2"/>
          <w:sz w:val="32"/>
          <w:szCs w:val="24"/>
          <w:u w:val="single"/>
          <w:lang w:val="en-US" w:eastAsia="zh-CN"/>
        </w:rPr>
        <w:t>114.69</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3000.4</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2616.1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一是追加支付</w:t>
      </w:r>
      <w:r>
        <w:rPr>
          <w:rFonts w:hint="eastAsia" w:ascii="仿宋_GB2312" w:hAnsi="仿宋_GB2312" w:eastAsia="仿宋_GB2312"/>
          <w:color w:val="auto"/>
          <w:kern w:val="2"/>
          <w:sz w:val="32"/>
          <w:szCs w:val="24"/>
        </w:rPr>
        <w:t>赤峰市中心城区防洪及环城水系治理项目2024年季度运营维护费</w:t>
      </w:r>
      <w:r>
        <w:rPr>
          <w:rFonts w:hint="eastAsia" w:ascii="仿宋_GB2312" w:hAnsi="仿宋_GB2312" w:eastAsia="仿宋_GB2312"/>
          <w:color w:val="auto"/>
          <w:kern w:val="2"/>
          <w:sz w:val="32"/>
          <w:szCs w:val="24"/>
          <w:lang w:val="en-US" w:eastAsia="zh-CN"/>
        </w:rPr>
        <w:t>2760万元；二是追加支付山洪灾害防治项目11.02万元。</w:t>
      </w:r>
    </w:p>
    <w:p>
      <w:pPr>
        <w:numPr>
          <w:ilvl w:val="0"/>
          <w:numId w:val="0"/>
        </w:numPr>
        <w:spacing w:beforeLines="0" w:afterLines="0" w:line="560" w:lineRule="exact"/>
        <w:ind w:firstLine="640" w:firstLineChars="200"/>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5.水利</w:t>
      </w:r>
      <w:r>
        <w:rPr>
          <w:rFonts w:hint="eastAsia" w:ascii="仿宋_GB2312" w:hAnsi="仿宋_GB2312" w:eastAsia="仿宋_GB2312"/>
          <w:color w:val="auto"/>
          <w:kern w:val="2"/>
          <w:sz w:val="32"/>
          <w:szCs w:val="24"/>
        </w:rPr>
        <w:t>（款）长江黄河等流域管理（项）年初预算</w:t>
      </w:r>
      <w:r>
        <w:rPr>
          <w:rFonts w:hint="eastAsia" w:ascii="宋体" w:hAnsi="Times New Roman"/>
          <w:color w:val="auto"/>
          <w:kern w:val="2"/>
          <w:sz w:val="32"/>
          <w:szCs w:val="24"/>
          <w:u w:val="single"/>
          <w:lang w:val="en-US" w:eastAsia="zh-CN"/>
        </w:rPr>
        <w:t>259</w:t>
      </w:r>
      <w:r>
        <w:rPr>
          <w:rFonts w:hint="eastAsia" w:ascii="仿宋_GB2312" w:hAnsi="仿宋_GB2312" w:eastAsia="仿宋_GB2312"/>
          <w:color w:val="auto"/>
          <w:kern w:val="2"/>
          <w:sz w:val="32"/>
          <w:szCs w:val="24"/>
        </w:rPr>
        <w:t>万元，支出决算</w:t>
      </w:r>
      <w:r>
        <w:rPr>
          <w:rFonts w:hint="eastAsia" w:ascii="宋体" w:hAnsi="Times New Roman"/>
          <w:color w:val="auto"/>
          <w:kern w:val="2"/>
          <w:sz w:val="32"/>
          <w:szCs w:val="24"/>
          <w:u w:val="single"/>
          <w:lang w:val="en-US" w:eastAsia="zh-CN"/>
        </w:rPr>
        <w:t>188.15</w:t>
      </w:r>
      <w:r>
        <w:rPr>
          <w:rFonts w:hint="eastAsia" w:ascii="仿宋_GB2312" w:hAnsi="仿宋_GB2312" w:eastAsia="仿宋_GB2312"/>
          <w:color w:val="auto"/>
          <w:kern w:val="2"/>
          <w:sz w:val="32"/>
          <w:szCs w:val="24"/>
        </w:rPr>
        <w:t>万元，完成年初预算的</w:t>
      </w:r>
      <w:r>
        <w:rPr>
          <w:rFonts w:hint="eastAsia" w:ascii="宋体" w:hAnsi="Times New Roman"/>
          <w:color w:val="auto"/>
          <w:kern w:val="2"/>
          <w:sz w:val="32"/>
          <w:szCs w:val="24"/>
          <w:u w:val="single"/>
          <w:lang w:val="en-US" w:eastAsia="zh-CN"/>
        </w:rPr>
        <w:t>72.64</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决算数与年初预算数的差异原因：大石门水库东台子水库赤峰中心城区引供水工程移民安置规划大纲和移民安置规划前期工作编制</w:t>
      </w:r>
      <w:r>
        <w:rPr>
          <w:rFonts w:hint="eastAsia" w:ascii="仿宋_GB2312" w:hAnsi="仿宋_GB2312" w:eastAsia="仿宋_GB2312"/>
          <w:color w:val="auto"/>
          <w:kern w:val="2"/>
          <w:sz w:val="32"/>
          <w:szCs w:val="24"/>
          <w:lang w:val="en-US" w:eastAsia="zh-CN"/>
        </w:rPr>
        <w:t>项目按完成进度付款，项目未完工存在部分款项未支付，导致未全部完成预算支付。</w:t>
      </w:r>
    </w:p>
    <w:p>
      <w:pPr>
        <w:spacing w:beforeLines="0" w:afterLines="0" w:line="560" w:lineRule="exact"/>
        <w:ind w:firstLine="640"/>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6.水利</w:t>
      </w:r>
      <w:r>
        <w:rPr>
          <w:rFonts w:hint="eastAsia" w:ascii="仿宋_GB2312" w:hAnsi="仿宋_GB2312" w:eastAsia="仿宋_GB2312"/>
          <w:color w:val="auto"/>
          <w:kern w:val="2"/>
          <w:sz w:val="32"/>
          <w:szCs w:val="24"/>
        </w:rPr>
        <w:t>（款）水资源节约管理与保护（项）年初预算</w:t>
      </w:r>
      <w:r>
        <w:rPr>
          <w:rFonts w:hint="eastAsia" w:ascii="宋体"/>
          <w:color w:val="auto"/>
          <w:kern w:val="2"/>
          <w:sz w:val="32"/>
          <w:szCs w:val="24"/>
          <w:u w:val="single"/>
          <w:lang w:val="en-US" w:eastAsia="zh-CN"/>
        </w:rPr>
        <w:t>108.73</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100.26</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92.21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决算数与年初预算数的差异原因：赤峰市西辽河流域地下水-地表水转化关系与水资源管控项目编制</w:t>
      </w:r>
      <w:r>
        <w:rPr>
          <w:rFonts w:hint="eastAsia" w:ascii="仿宋_GB2312" w:hAnsi="仿宋_GB2312" w:eastAsia="仿宋_GB2312"/>
          <w:color w:val="auto"/>
          <w:kern w:val="2"/>
          <w:sz w:val="32"/>
          <w:szCs w:val="24"/>
          <w:lang w:val="en-US" w:eastAsia="zh-CN"/>
        </w:rPr>
        <w:t>已经完成，结余资金8.47万元被年末压减导致。</w:t>
      </w:r>
    </w:p>
    <w:p>
      <w:pPr>
        <w:spacing w:beforeLines="0" w:afterLines="0" w:line="560" w:lineRule="exact"/>
        <w:ind w:firstLine="640"/>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7.水利</w:t>
      </w:r>
      <w:r>
        <w:rPr>
          <w:rFonts w:hint="eastAsia" w:ascii="仿宋_GB2312" w:hAnsi="仿宋_GB2312" w:eastAsia="仿宋_GB2312"/>
          <w:color w:val="auto"/>
          <w:kern w:val="2"/>
          <w:sz w:val="32"/>
          <w:szCs w:val="24"/>
        </w:rPr>
        <w:t>（款） 水利前期工作（项）年初预算</w:t>
      </w:r>
      <w:r>
        <w:rPr>
          <w:rFonts w:hint="eastAsia" w:ascii="宋体"/>
          <w:color w:val="auto"/>
          <w:kern w:val="2"/>
          <w:sz w:val="32"/>
          <w:szCs w:val="24"/>
          <w:u w:val="single"/>
          <w:lang w:val="en-US" w:eastAsia="zh-CN"/>
        </w:rPr>
        <w:t>657.4</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279.85</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42.57</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大石门水库东台子水库赤峰中心城区引供水工程环评、水保、防洪等前期工作未完成，项目资金年末进行压减导致。</w:t>
      </w:r>
    </w:p>
    <w:p>
      <w:pPr>
        <w:spacing w:beforeLines="0" w:afterLines="0" w:line="560" w:lineRule="exact"/>
        <w:ind w:firstLine="640"/>
        <w:jc w:val="both"/>
        <w:rPr>
          <w:rFonts w:hint="eastAsia" w:ascii="仿宋_GB2312" w:hAnsi="仿宋_GB2312" w:eastAsia="仿宋_GB2312"/>
          <w:color w:val="auto"/>
          <w:kern w:val="2"/>
          <w:sz w:val="32"/>
          <w:szCs w:val="24"/>
          <w:lang w:eastAsia="zh-CN"/>
        </w:rPr>
      </w:pPr>
      <w:r>
        <w:rPr>
          <w:rFonts w:hint="eastAsia" w:ascii="仿宋_GB2312" w:hAnsi="仿宋_GB2312" w:eastAsia="仿宋_GB2312"/>
          <w:color w:val="auto"/>
          <w:kern w:val="2"/>
          <w:sz w:val="32"/>
          <w:szCs w:val="24"/>
          <w:lang w:val="en-US" w:eastAsia="zh-CN"/>
        </w:rPr>
        <w:t>8.水利</w:t>
      </w:r>
      <w:r>
        <w:rPr>
          <w:rFonts w:hint="eastAsia" w:ascii="仿宋_GB2312" w:hAnsi="仿宋_GB2312" w:eastAsia="仿宋_GB2312"/>
          <w:color w:val="auto"/>
          <w:kern w:val="2"/>
          <w:sz w:val="32"/>
          <w:szCs w:val="24"/>
        </w:rPr>
        <w:t xml:space="preserve">（款） </w:t>
      </w:r>
      <w:r>
        <w:rPr>
          <w:rFonts w:hint="eastAsia" w:ascii="仿宋_GB2312" w:hAnsi="仿宋_GB2312" w:eastAsia="仿宋_GB2312"/>
          <w:color w:val="auto"/>
          <w:kern w:val="2"/>
          <w:sz w:val="32"/>
          <w:szCs w:val="24"/>
          <w:lang w:val="en-US" w:eastAsia="zh-CN"/>
        </w:rPr>
        <w:t>水资源节约管理与保护</w:t>
      </w:r>
      <w:r>
        <w:rPr>
          <w:rFonts w:hint="eastAsia" w:ascii="仿宋_GB2312" w:hAnsi="仿宋_GB2312" w:eastAsia="仿宋_GB2312"/>
          <w:color w:val="auto"/>
          <w:kern w:val="2"/>
          <w:sz w:val="32"/>
          <w:szCs w:val="24"/>
        </w:rPr>
        <w:t>（项）年初预算</w:t>
      </w:r>
      <w:r>
        <w:rPr>
          <w:rFonts w:hint="eastAsia" w:ascii="宋体"/>
          <w:color w:val="auto"/>
          <w:kern w:val="2"/>
          <w:sz w:val="32"/>
          <w:szCs w:val="24"/>
          <w:u w:val="single"/>
          <w:lang w:val="en-US" w:eastAsia="zh-CN"/>
        </w:rPr>
        <w:t>13</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32.78</w:t>
      </w:r>
      <w:r>
        <w:rPr>
          <w:rFonts w:hint="eastAsia" w:ascii="仿宋_GB2312" w:hAnsi="仿宋_GB2312" w:eastAsia="仿宋_GB2312"/>
          <w:color w:val="auto"/>
          <w:kern w:val="2"/>
          <w:sz w:val="32"/>
          <w:szCs w:val="24"/>
        </w:rPr>
        <w:t>万元，完成年初预算的</w:t>
      </w:r>
      <w:r>
        <w:rPr>
          <w:rFonts w:hint="eastAsia" w:ascii="宋体" w:hAnsi="Times New Roman"/>
          <w:color w:val="auto"/>
          <w:kern w:val="2"/>
          <w:sz w:val="32"/>
          <w:szCs w:val="24"/>
          <w:u w:val="single"/>
          <w:lang w:val="en-US" w:eastAsia="zh-CN"/>
        </w:rPr>
        <w:t>714.79</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追加支付省级</w:t>
      </w:r>
      <w:r>
        <w:rPr>
          <w:rFonts w:hint="eastAsia" w:ascii="仿宋_GB2312" w:hAnsi="仿宋_GB2312" w:eastAsia="仿宋_GB2312"/>
          <w:color w:val="auto"/>
          <w:kern w:val="2"/>
          <w:sz w:val="32"/>
          <w:szCs w:val="24"/>
        </w:rPr>
        <w:t>合同节水补助资金</w:t>
      </w:r>
      <w:r>
        <w:rPr>
          <w:rFonts w:hint="eastAsia" w:ascii="仿宋_GB2312" w:hAnsi="仿宋_GB2312" w:eastAsia="仿宋_GB2312"/>
          <w:color w:val="auto"/>
          <w:kern w:val="2"/>
          <w:sz w:val="32"/>
          <w:szCs w:val="24"/>
          <w:lang w:eastAsia="zh-CN"/>
        </w:rPr>
        <w:t>。</w:t>
      </w:r>
    </w:p>
    <w:p>
      <w:pPr>
        <w:spacing w:beforeLines="0" w:afterLines="0" w:line="560" w:lineRule="exact"/>
        <w:ind w:firstLine="640"/>
        <w:jc w:val="both"/>
        <w:rPr>
          <w:rFonts w:hint="eastAsia" w:ascii="仿宋_GB2312" w:hAnsi="仿宋_GB2312" w:eastAsia="仿宋_GB2312"/>
          <w:color w:val="auto"/>
          <w:kern w:val="2"/>
          <w:sz w:val="32"/>
          <w:szCs w:val="24"/>
          <w:lang w:eastAsia="zh-CN"/>
        </w:rPr>
      </w:pPr>
      <w:r>
        <w:rPr>
          <w:rFonts w:hint="eastAsia" w:ascii="仿宋_GB2312" w:hAnsi="仿宋_GB2312" w:eastAsia="仿宋_GB2312"/>
          <w:color w:val="auto"/>
          <w:kern w:val="2"/>
          <w:sz w:val="32"/>
          <w:szCs w:val="24"/>
          <w:lang w:val="en-US" w:eastAsia="zh-CN"/>
        </w:rPr>
        <w:t>9.水利</w:t>
      </w:r>
      <w:r>
        <w:rPr>
          <w:rFonts w:hint="eastAsia" w:ascii="仿宋_GB2312" w:hAnsi="仿宋_GB2312" w:eastAsia="仿宋_GB2312"/>
          <w:color w:val="auto"/>
          <w:kern w:val="2"/>
          <w:sz w:val="32"/>
          <w:szCs w:val="24"/>
        </w:rPr>
        <w:t xml:space="preserve">（款） </w:t>
      </w:r>
      <w:r>
        <w:rPr>
          <w:rFonts w:hint="eastAsia" w:ascii="仿宋_GB2312" w:hAnsi="仿宋_GB2312" w:eastAsia="仿宋_GB2312"/>
          <w:color w:val="auto"/>
          <w:kern w:val="2"/>
          <w:sz w:val="32"/>
          <w:szCs w:val="24"/>
          <w:lang w:val="en-US" w:eastAsia="zh-CN"/>
        </w:rPr>
        <w:t>防汛</w:t>
      </w:r>
      <w:r>
        <w:rPr>
          <w:rFonts w:hint="eastAsia" w:ascii="仿宋_GB2312" w:hAnsi="仿宋_GB2312" w:eastAsia="仿宋_GB2312"/>
          <w:color w:val="auto"/>
          <w:kern w:val="2"/>
          <w:sz w:val="32"/>
          <w:szCs w:val="24"/>
        </w:rPr>
        <w:t>（项）年初预算</w:t>
      </w:r>
      <w:r>
        <w:rPr>
          <w:rFonts w:hint="eastAsia" w:ascii="宋体"/>
          <w:color w:val="auto"/>
          <w:kern w:val="2"/>
          <w:sz w:val="32"/>
          <w:szCs w:val="24"/>
          <w:u w:val="single"/>
          <w:lang w:val="en-US" w:eastAsia="zh-CN"/>
        </w:rPr>
        <w:t>16.1</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156.6</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972.67</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追加支付山洪灾害防治项目资金</w:t>
      </w:r>
      <w:r>
        <w:rPr>
          <w:rFonts w:hint="eastAsia" w:ascii="仿宋_GB2312" w:hAnsi="仿宋_GB2312" w:eastAsia="仿宋_GB2312"/>
          <w:color w:val="auto"/>
          <w:kern w:val="2"/>
          <w:sz w:val="32"/>
          <w:szCs w:val="24"/>
          <w:lang w:eastAsia="zh-CN"/>
        </w:rPr>
        <w:t>。</w:t>
      </w:r>
    </w:p>
    <w:p>
      <w:pPr>
        <w:pStyle w:val="2"/>
        <w:ind w:firstLine="640" w:firstLineChars="200"/>
        <w:rPr>
          <w:rFonts w:hint="eastAsia"/>
          <w:lang w:val="en-US" w:eastAsia="zh-CN"/>
        </w:rPr>
      </w:pPr>
      <w:r>
        <w:rPr>
          <w:rFonts w:hint="eastAsia" w:ascii="仿宋_GB2312" w:hAnsi="仿宋_GB2312" w:eastAsia="仿宋_GB2312"/>
          <w:color w:val="auto"/>
          <w:kern w:val="2"/>
          <w:sz w:val="32"/>
          <w:szCs w:val="24"/>
          <w:lang w:val="en-US" w:eastAsia="zh-CN"/>
        </w:rPr>
        <w:t>10.水利</w:t>
      </w:r>
      <w:r>
        <w:rPr>
          <w:rFonts w:hint="eastAsia" w:ascii="仿宋_GB2312" w:hAnsi="仿宋_GB2312" w:eastAsia="仿宋_GB2312"/>
          <w:color w:val="auto"/>
          <w:kern w:val="2"/>
          <w:sz w:val="32"/>
          <w:szCs w:val="24"/>
        </w:rPr>
        <w:t>（款）其他水利支出（项）年初预算</w:t>
      </w:r>
      <w:r>
        <w:rPr>
          <w:rFonts w:hint="eastAsia" w:ascii="宋体"/>
          <w:color w:val="auto"/>
          <w:kern w:val="2"/>
          <w:sz w:val="32"/>
          <w:szCs w:val="24"/>
          <w:u w:val="single"/>
          <w:lang w:val="en-US" w:eastAsia="zh-CN"/>
        </w:rPr>
        <w:t>20024.77</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31013.78</w:t>
      </w:r>
      <w:r>
        <w:rPr>
          <w:rFonts w:hint="eastAsia" w:ascii="仿宋_GB2312" w:hAnsi="仿宋_GB2312" w:eastAsia="仿宋_GB2312"/>
          <w:color w:val="auto"/>
          <w:kern w:val="2"/>
          <w:sz w:val="32"/>
          <w:szCs w:val="24"/>
        </w:rPr>
        <w:t>万元，完成年初预算的</w:t>
      </w:r>
      <w:r>
        <w:rPr>
          <w:rFonts w:hint="eastAsia" w:ascii="宋体"/>
          <w:color w:val="auto"/>
          <w:kern w:val="2"/>
          <w:sz w:val="32"/>
          <w:szCs w:val="24"/>
          <w:u w:val="single"/>
          <w:lang w:val="en-US" w:eastAsia="zh-CN"/>
        </w:rPr>
        <w:t>154.88</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追加支付赤峰市中心城区防洪及环城水系治理项目第四年第五年运营年可用性服务费11286万元导致</w:t>
      </w:r>
      <w:r>
        <w:rPr>
          <w:rFonts w:hint="eastAsia" w:ascii="仿宋_GB2312" w:hAnsi="仿宋_GB2312" w:eastAsia="仿宋_GB2312"/>
          <w:color w:val="auto"/>
          <w:kern w:val="2"/>
          <w:sz w:val="32"/>
          <w:szCs w:val="24"/>
          <w:lang w:eastAsia="zh-CN"/>
        </w:rPr>
        <w:t>。</w:t>
      </w:r>
    </w:p>
    <w:p>
      <w:pPr>
        <w:tabs>
          <w:tab w:val="left" w:pos="4275"/>
        </w:tabs>
        <w:spacing w:beforeLines="0" w:after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（五）住房保障支出（类）</w:t>
      </w:r>
    </w:p>
    <w:p>
      <w:pPr>
        <w:spacing w:beforeLines="0" w:afterLines="0" w:line="560" w:lineRule="exact"/>
        <w:ind w:firstLine="640"/>
        <w:jc w:val="both"/>
        <w:rPr>
          <w:rFonts w:hint="eastAsia"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住房保障支出类决算数为</w:t>
      </w:r>
      <w:r>
        <w:rPr>
          <w:rFonts w:hint="eastAsia"/>
          <w:color w:val="auto"/>
          <w:kern w:val="2"/>
          <w:sz w:val="32"/>
          <w:szCs w:val="24"/>
          <w:u w:val="single"/>
          <w:lang w:val="en-US" w:eastAsia="zh-CN"/>
        </w:rPr>
        <w:t>32.03</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减少12.99万元</w:t>
      </w:r>
      <w:r>
        <w:rPr>
          <w:rFonts w:hint="eastAsia" w:ascii="仿宋_GB2312" w:hAnsi="仿宋_GB2312" w:eastAsia="仿宋_GB2312"/>
          <w:color w:val="auto"/>
          <w:kern w:val="2"/>
          <w:sz w:val="32"/>
          <w:szCs w:val="24"/>
        </w:rPr>
        <w:t>。其中：</w:t>
      </w:r>
    </w:p>
    <w:p>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．住房改革支出（款）住房公积金（项）。年初预算</w:t>
      </w:r>
      <w:r>
        <w:rPr>
          <w:rFonts w:hint="eastAsia" w:ascii="宋体"/>
          <w:color w:val="auto"/>
          <w:kern w:val="2"/>
          <w:sz w:val="32"/>
          <w:szCs w:val="24"/>
          <w:u w:val="single"/>
          <w:lang w:val="en-US" w:eastAsia="zh-CN"/>
        </w:rPr>
        <w:t>45.02</w:t>
      </w:r>
      <w:r>
        <w:rPr>
          <w:rFonts w:hint="eastAsia" w:ascii="仿宋_GB2312" w:hAnsi="仿宋_GB2312" w:eastAsia="仿宋_GB2312"/>
          <w:color w:val="auto"/>
          <w:kern w:val="2"/>
          <w:sz w:val="32"/>
          <w:szCs w:val="24"/>
        </w:rPr>
        <w:t>万元，支出决算</w:t>
      </w:r>
      <w:r>
        <w:rPr>
          <w:rFonts w:hint="eastAsia" w:ascii="宋体"/>
          <w:color w:val="auto"/>
          <w:kern w:val="2"/>
          <w:sz w:val="32"/>
          <w:szCs w:val="24"/>
          <w:u w:val="single"/>
          <w:lang w:val="en-US" w:eastAsia="zh-CN"/>
        </w:rPr>
        <w:t>32.03</w:t>
      </w:r>
      <w:r>
        <w:rPr>
          <w:rFonts w:hint="eastAsia" w:ascii="仿宋_GB2312" w:hAnsi="仿宋_GB2312" w:eastAsia="仿宋_GB2312"/>
          <w:color w:val="auto"/>
          <w:kern w:val="2"/>
          <w:sz w:val="32"/>
          <w:szCs w:val="24"/>
        </w:rPr>
        <w:t>万元，完成年初预算的</w:t>
      </w:r>
      <w:r>
        <w:rPr>
          <w:rFonts w:hint="eastAsia" w:ascii="宋体" w:hAnsi="Times New Roman" w:eastAsia="宋体"/>
          <w:color w:val="auto"/>
          <w:kern w:val="2"/>
          <w:sz w:val="32"/>
          <w:szCs w:val="24"/>
          <w:u w:val="single"/>
          <w:lang w:val="en-US" w:eastAsia="zh-CN"/>
        </w:rPr>
        <w:t>100</w:t>
      </w:r>
      <w:r>
        <w:rPr>
          <w:rFonts w:hint="eastAsia" w:ascii="Times New Roman" w:hAnsi="Times New Roman" w:eastAsia="Times New Roman"/>
          <w:color w:val="auto"/>
          <w:kern w:val="2"/>
          <w:sz w:val="32"/>
          <w:szCs w:val="24"/>
          <w:u w:val="single"/>
        </w:rPr>
        <w:t xml:space="preserve"> </w:t>
      </w:r>
      <w:r>
        <w:rPr>
          <w:rFonts w:hint="eastAsia" w:ascii="仿宋_GB2312" w:hAnsi="仿宋_GB2312" w:eastAsia="仿宋_GB2312"/>
          <w:color w:val="auto"/>
          <w:kern w:val="2"/>
          <w:sz w:val="32"/>
          <w:szCs w:val="24"/>
        </w:rPr>
        <w:t>%。</w:t>
      </w:r>
      <w:r>
        <w:rPr>
          <w:rFonts w:hint="eastAsia" w:ascii="仿宋_GB2312" w:hAnsi="仿宋_GB2312" w:eastAsia="仿宋_GB2312" w:cs="Times New Roman"/>
          <w:color w:val="auto"/>
          <w:kern w:val="2"/>
          <w:sz w:val="32"/>
          <w:szCs w:val="24"/>
        </w:rPr>
        <w:t>决算数与年初预算数</w:t>
      </w:r>
      <w:r>
        <w:rPr>
          <w:rFonts w:hint="eastAsia" w:ascii="仿宋_GB2312" w:hAnsi="仿宋_GB2312" w:eastAsia="仿宋_GB2312" w:cs="Times New Roman"/>
          <w:color w:val="auto"/>
          <w:kern w:val="2"/>
          <w:sz w:val="32"/>
          <w:szCs w:val="24"/>
          <w:lang w:val="en-US" w:eastAsia="zh-CN"/>
        </w:rPr>
        <w:t>存在差异原因是2024年在职1人退休，相应的单位住房公积金费用支出减少</w:t>
      </w:r>
      <w:r>
        <w:rPr>
          <w:rFonts w:hint="eastAsia" w:ascii="仿宋_GB2312" w:hAnsi="仿宋_GB2312" w:eastAsia="仿宋_GB2312" w:cs="Times New Roman"/>
          <w:color w:val="auto"/>
          <w:kern w:val="2"/>
          <w:sz w:val="32"/>
          <w:szCs w:val="24"/>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spacing w:beforeLines="0" w:afterLines="0" w:line="560" w:lineRule="exact"/>
        <w:ind w:firstLine="640"/>
        <w:jc w:val="both"/>
        <w:rPr>
          <w:rFonts w:hint="eastAsia" w:ascii="仿宋_GB2312" w:hAnsi="仿宋_GB2312" w:eastAsia="仿宋_GB2312" w:cs="Times New Roman"/>
          <w:color w:val="auto"/>
          <w:kern w:val="2"/>
          <w:sz w:val="32"/>
          <w:szCs w:val="24"/>
          <w:lang w:val="en-US" w:eastAsia="zh-CN"/>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Times New Roman"/>
          <w:color w:val="auto"/>
          <w:kern w:val="2"/>
          <w:sz w:val="32"/>
          <w:szCs w:val="24"/>
          <w:lang w:val="en-US" w:eastAsia="zh-CN"/>
        </w:rPr>
        <w:t>赤峰市水利局(本级）2024年度一般公共预算财政拨款基本支出决算653.11万元，其中：</w:t>
      </w:r>
    </w:p>
    <w:p>
      <w:pPr>
        <w:spacing w:beforeLines="0" w:afterLines="0" w:line="560" w:lineRule="exact"/>
        <w:ind w:firstLine="640"/>
        <w:jc w:val="both"/>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    （一）人员经费 514.57万元。主要包括：基本工资134.65万元、津贴补贴138.76万元、奖金36.85万元、机关事业单位基本养老保险缴费38.91万元、职工基本医疗保险缴费11.18万元、公务员医疗补助缴费社会保障缴费23.11万元、 公务员医疗补助缴费0.87万元、其他社会保障缴费0.71万元、住房公积金32.03万元、离休费15.44万元、退休费43.25万元、抚恤金27.63万元、生活补助11.17万元等。</w:t>
      </w:r>
    </w:p>
    <w:p>
      <w:pPr>
        <w:spacing w:beforeLines="0" w:afterLines="0" w:line="560" w:lineRule="exact"/>
        <w:ind w:firstLine="640"/>
        <w:jc w:val="both"/>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    （二）公用经费138.54万元。主要包括：办公费18.28万元、咨询费4.91万元、水费0.62万元、电费10.42万元、邮电费3.5万元、取暖费20.61万元、物业管理费30万元、维修（护）费9.27万元、会议费3万元、公务接待费1.15万元、劳务费7.46万元、福利费12.07万元、公务用车运行维护费10万元、其他交通费用5万元、其他商品和服务支出2.25万元等。</w:t>
      </w:r>
    </w:p>
    <w:p>
      <w:pPr>
        <w:spacing w:beforeLines="0" w:afterLines="0" w:line="560" w:lineRule="exact"/>
        <w:ind w:firstLine="640"/>
        <w:jc w:val="both"/>
        <w:rPr>
          <w:rFonts w:hint="eastAsia" w:ascii="黑体" w:hAnsi="黑体" w:eastAsia="黑体" w:cs="黑体"/>
          <w:b/>
          <w:bCs/>
          <w:kern w:val="0"/>
          <w:sz w:val="27"/>
          <w:szCs w:val="27"/>
          <w:lang w:val="en-US" w:eastAsia="zh-CN"/>
        </w:rPr>
      </w:pPr>
      <w:r>
        <w:rPr>
          <w:rFonts w:hint="eastAsia" w:ascii="仿宋_GB2312" w:hAnsi="仿宋_GB2312" w:eastAsia="仿宋_GB2312" w:cs="Times New Roman"/>
          <w:color w:val="auto"/>
          <w:kern w:val="2"/>
          <w:sz w:val="32"/>
          <w:szCs w:val="24"/>
          <w:lang w:val="en-US" w:eastAsia="zh-CN"/>
        </w:rPr>
        <w:t>   </w:t>
      </w:r>
      <w:r>
        <w:rPr>
          <w:rFonts w:hint="eastAsia" w:ascii="黑体" w:hAnsi="黑体" w:eastAsia="黑体" w:cs="黑体"/>
          <w:b/>
          <w:bCs/>
          <w:kern w:val="0"/>
          <w:sz w:val="27"/>
          <w:szCs w:val="27"/>
          <w:lang w:val="en-US" w:eastAsia="zh-CN"/>
        </w:rPr>
        <w:t xml:space="preserve"> 七、一般公共预算财政拨款项目支出决算情况说明</w:t>
      </w:r>
    </w:p>
    <w:p>
      <w:pPr>
        <w:spacing w:beforeLines="0" w:afterLines="0" w:line="560" w:lineRule="exact"/>
        <w:ind w:firstLine="640"/>
        <w:jc w:val="both"/>
        <w:rPr>
          <w:rFonts w:ascii="Times New Roman" w:hAnsi="Times New Roman" w:eastAsia="Times New Roman" w:cs="Times New Roman"/>
          <w:kern w:val="0"/>
          <w:sz w:val="24"/>
        </w:rPr>
      </w:pPr>
      <w:r>
        <w:rPr>
          <w:rFonts w:hint="eastAsia" w:ascii="仿宋_GB2312" w:hAnsi="仿宋_GB2312" w:eastAsia="仿宋_GB2312" w:cs="Times New Roman"/>
          <w:color w:val="auto"/>
          <w:kern w:val="2"/>
          <w:sz w:val="32"/>
          <w:szCs w:val="24"/>
          <w:lang w:val="en-US" w:eastAsia="zh-CN"/>
        </w:rPr>
        <w:t>    赤峰市水利局(本级） 2023年度一般公共预算财政拨款项目支出决算 38756.9万元，其中：</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810" w:firstLineChars="300"/>
        <w:rPr>
          <w:rFonts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（二）商品和服务支出</w:t>
      </w:r>
      <w:r>
        <w:rPr>
          <w:rFonts w:hint="eastAsia" w:ascii="times_new_roman" w:hAnsi="times_new_roman" w:eastAsia="times_new_roman" w:cs="times_new_roman"/>
          <w:kern w:val="0"/>
          <w:sz w:val="27"/>
          <w:szCs w:val="27"/>
          <w:u w:val="single"/>
        </w:rPr>
        <w:t>38752.9</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仿宋_GB2312" w:hAnsi="仿宋_GB2312" w:eastAsia="仿宋_GB2312" w:cs="Times New Roman"/>
          <w:color w:val="auto"/>
          <w:kern w:val="2"/>
          <w:sz w:val="32"/>
          <w:szCs w:val="24"/>
          <w:lang w:val="en-US" w:eastAsia="zh-CN"/>
        </w:rPr>
        <w:t>68.87</w:t>
      </w:r>
      <w:r>
        <w:rPr>
          <w:rFonts w:hint="eastAsia" w:ascii="fang_song_gb2312" w:hAnsi="fang_song_gb2312" w:eastAsia="fang_song_gb2312" w:cs="fang_song_gb2312"/>
          <w:kern w:val="0"/>
          <w:sz w:val="27"/>
          <w:szCs w:val="27"/>
          <w:lang w:val="en-US" w:eastAsia="zh-CN"/>
        </w:rPr>
        <w:t>万元</w:t>
      </w:r>
      <w:r>
        <w:rPr>
          <w:rFonts w:ascii="fang_song_gb2312" w:hAnsi="fang_song_gb2312" w:eastAsia="fang_song_gb2312" w:cs="fang_song_gb2312"/>
          <w:kern w:val="0"/>
          <w:sz w:val="27"/>
          <w:szCs w:val="27"/>
        </w:rPr>
        <w:t>、印刷费、</w:t>
      </w:r>
      <w:r>
        <w:rPr>
          <w:rFonts w:hint="eastAsia" w:ascii="仿宋_GB2312" w:hAnsi="仿宋_GB2312" w:eastAsia="仿宋_GB2312" w:cs="Times New Roman"/>
          <w:color w:val="auto"/>
          <w:kern w:val="2"/>
          <w:sz w:val="32"/>
          <w:szCs w:val="24"/>
          <w:lang w:val="en-US" w:eastAsia="zh-CN"/>
        </w:rPr>
        <w:t>咨询费1.75万元、手续费、水费、电费、邮电费、取暖费、物业管理费、差旅费64.84万元、因公出国（境）费用、维修（护）费11.35万元、租赁费、会议费2.91万元、培训费20.61万元、公务接待费0.28万元、劳务费6.6万元、专用材料费、被装购置费、专用燃料费、委托业务费38510.28万元、工会经费、福利费、公务用车运行维护费、其他交通费用45.4万元、税金及附加费用、其他商品和服务支出20万元等。</w:t>
      </w:r>
    </w:p>
    <w:p>
      <w:pPr>
        <w:pStyle w:val="23"/>
        <w:rPr>
          <w:rFonts w:hint="default"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val="en-US" w:eastAsia="zh-CN"/>
        </w:rPr>
        <w:t>三</w:t>
      </w:r>
      <w:r>
        <w:rPr>
          <w:rFonts w:ascii="fang_song_gb2312" w:hAnsi="fang_song_gb2312" w:eastAsia="fang_song_gb2312" w:cs="fang_song_gb2312"/>
          <w:b/>
          <w:bCs/>
          <w:kern w:val="0"/>
          <w:sz w:val="27"/>
          <w:szCs w:val="27"/>
        </w:rPr>
        <w:t>）</w:t>
      </w:r>
      <w:r>
        <w:rPr>
          <w:rFonts w:hint="eastAsia" w:ascii="fang_song_gb2312" w:hAnsi="fang_song_gb2312" w:eastAsia="fang_song_gb2312" w:cs="fang_song_gb2312"/>
          <w:b/>
          <w:bCs/>
          <w:kern w:val="0"/>
          <w:sz w:val="27"/>
          <w:szCs w:val="27"/>
        </w:rPr>
        <w:t>对个人和家庭的补助</w:t>
      </w:r>
      <w:r>
        <w:rPr>
          <w:rFonts w:ascii="fang_song_gb2312" w:hAnsi="fang_song_gb2312" w:eastAsia="fang_song_gb2312" w:cs="fang_song_gb2312"/>
          <w:b/>
          <w:bCs/>
          <w:kern w:val="0"/>
          <w:sz w:val="27"/>
          <w:szCs w:val="27"/>
        </w:rPr>
        <w:t>支出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4</w:t>
      </w:r>
      <w:r>
        <w:rPr>
          <w:rFonts w:ascii="fang_song_gb2312" w:hAnsi="fang_song_gb2312" w:eastAsia="fang_song_gb2312" w:cs="fang_song_gb2312"/>
          <w:b/>
          <w:bCs/>
          <w:kern w:val="0"/>
          <w:sz w:val="27"/>
          <w:szCs w:val="27"/>
        </w:rPr>
        <w:t>万元</w:t>
      </w:r>
      <w:r>
        <w:rPr>
          <w:rFonts w:hint="eastAsia" w:ascii="fang_song_gb2312" w:hAnsi="fang_song_gb2312" w:cs="fang_song_gb2312"/>
          <w:b/>
          <w:bCs/>
          <w:kern w:val="0"/>
          <w:sz w:val="27"/>
          <w:szCs w:val="27"/>
          <w:lang w:eastAsia="zh-CN"/>
        </w:rPr>
        <w:t>。</w:t>
      </w:r>
      <w:r>
        <w:rPr>
          <w:rFonts w:hint="eastAsia" w:ascii="仿宋_GB2312" w:hAnsi="仿宋_GB2312" w:eastAsia="仿宋_GB2312" w:cs="Times New Roman"/>
          <w:color w:val="auto"/>
          <w:kern w:val="2"/>
          <w:sz w:val="32"/>
          <w:szCs w:val="24"/>
          <w:lang w:val="en-US" w:eastAsia="zh-CN" w:bidi="ar-SA"/>
        </w:rPr>
        <w:t>主要包括：其他对个人和家庭的补助4万元。用人员经费支出的原因为：追加支付定向选调生经济补助经费4万元。</w:t>
      </w:r>
    </w:p>
    <w:p>
      <w:pPr>
        <w:pStyle w:val="23"/>
        <w:rPr>
          <w:rFonts w:hint="default" w:eastAsia="宋体"/>
          <w:b w:val="0"/>
          <w:bCs w:val="0"/>
          <w:lang w:val="en-US" w:eastAsia="zh-CN"/>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val="en-US" w:eastAsia="zh-CN"/>
        </w:rPr>
        <w:t>四</w:t>
      </w: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val="en-US" w:eastAsia="zh-CN"/>
        </w:rPr>
        <w:t>资本性</w:t>
      </w:r>
      <w:r>
        <w:rPr>
          <w:rFonts w:ascii="fang_song_gb2312" w:hAnsi="fang_song_gb2312" w:eastAsia="fang_song_gb2312" w:cs="fang_song_gb2312"/>
          <w:b/>
          <w:bCs/>
          <w:kern w:val="0"/>
          <w:sz w:val="27"/>
          <w:szCs w:val="27"/>
        </w:rPr>
        <w:t>支出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b/>
          <w:bCs/>
          <w:kern w:val="0"/>
          <w:sz w:val="27"/>
          <w:szCs w:val="27"/>
        </w:rPr>
        <w:t>万元</w:t>
      </w:r>
      <w:r>
        <w:rPr>
          <w:rFonts w:hint="eastAsia" w:ascii="fang_song_gb2312" w:hAnsi="fang_song_gb2312" w:cs="fang_song_gb2312"/>
          <w:b/>
          <w:bCs/>
          <w:kern w:val="0"/>
          <w:sz w:val="27"/>
          <w:szCs w:val="27"/>
          <w:lang w:eastAsia="zh-CN"/>
        </w:rPr>
        <w:t>。</w:t>
      </w:r>
      <w:r>
        <w:rPr>
          <w:rFonts w:hint="eastAsia" w:ascii="fang_song_gb2312" w:hAnsi="fang_song_gb2312" w:cs="fang_song_gb2312"/>
          <w:b w:val="0"/>
          <w:bCs w:val="0"/>
          <w:kern w:val="0"/>
          <w:sz w:val="27"/>
          <w:szCs w:val="27"/>
          <w:lang w:val="en-US" w:eastAsia="zh-CN"/>
        </w:rPr>
        <w:t>主要包括： 办公设备购置、基础设施建设等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hint="eastAsia" w:ascii="fang_song_gb2312" w:hAnsi="fang_song_gb2312" w:eastAsia="宋体" w:cs="fang_song_gb2312"/>
          <w:b w:val="0"/>
          <w:bCs w:val="0"/>
          <w:kern w:val="0"/>
          <w:sz w:val="27"/>
          <w:szCs w:val="27"/>
          <w:lang w:val="en-US" w:eastAsia="zh-CN" w:bidi="ar-SA"/>
        </w:rPr>
      </w:pPr>
      <w:r>
        <w:rPr>
          <w:rFonts w:ascii="fang_song_gb2312" w:hAnsi="fang_song_gb2312" w:eastAsia="fang_song_gb2312" w:cs="fang_song_gb2312"/>
          <w:kern w:val="0"/>
          <w:sz w:val="27"/>
          <w:szCs w:val="27"/>
        </w:rPr>
        <w:t>   </w:t>
      </w:r>
      <w:r>
        <w:rPr>
          <w:rFonts w:hint="eastAsia" w:ascii="fang_song_gb2312" w:hAnsi="fang_song_gb2312" w:eastAsia="宋体" w:cs="fang_song_gb2312"/>
          <w:b w:val="0"/>
          <w:bCs w:val="0"/>
          <w:kern w:val="0"/>
          <w:sz w:val="27"/>
          <w:szCs w:val="27"/>
          <w:lang w:val="en-US" w:eastAsia="zh-CN" w:bidi="ar-SA"/>
        </w:rPr>
        <w:t xml:space="preserve"> </w:t>
      </w:r>
      <w:r>
        <w:rPr>
          <w:rFonts w:hint="eastAsia" w:ascii="仿宋_GB2312" w:hAnsi="仿宋_GB2312" w:eastAsia="仿宋_GB2312" w:cs="Times New Roman"/>
          <w:color w:val="auto"/>
          <w:kern w:val="2"/>
          <w:sz w:val="32"/>
          <w:szCs w:val="24"/>
          <w:lang w:val="en-US" w:eastAsia="zh-CN" w:bidi="ar-SA"/>
        </w:rPr>
        <w:t>赤峰市水利局(本级）2024年度财政拨款“三公”经费全年预算 14.5万元，支出决算 11.42万元，完成预算的 78.76%。其中：因公出国（境）费全年预算 0.00万元，支出决算 0.00万元，完成预算的 0%；公务用车购置及运行维护费全年预算 10.00万元，支出决算 10万元，完成预算的 100%；公务接待费全年预算4.5万元，支出决算 1.43万元，完成预算的 31.78%。2024年度一般公共预算财政拨款“三公”经费支出决算与预算差异原因：2024年单位进一步落实过紧日子和建设节约型机关的要求，压减不必要的支出，节约预算资金3.08万元。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Times New Roman"/>
          <w:color w:val="auto"/>
          <w:kern w:val="2"/>
          <w:sz w:val="32"/>
          <w:szCs w:val="24"/>
          <w:lang w:val="en-US" w:eastAsia="zh-CN" w:bidi="ar-SA"/>
        </w:rPr>
        <w:t>赤峰市水利局(本级） 2024年度财政拨款“三公”经费支出 11.42万元。因公出国（境）费支出 0.00万元，占 0.00%；公务用车购置及运行维护费支出 10万元，占 87.57%；公务接待费支出 1.42万元，占 12.43%。其中：</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    1.因公出国（境）费支出 0.00万元，全年出国（境）团组0 个，累计0 人次。与上年决算相比，增加 0.00万元，增长0%，变动原因：本单位没有用因公出国（境）人员。</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ascii="times_new_roman" w:hAnsi="times_new_roman" w:eastAsia="times_new_roman" w:cs="times_new_roman"/>
          <w:kern w:val="0"/>
          <w:sz w:val="27"/>
          <w:szCs w:val="27"/>
        </w:rPr>
        <w:t>   </w:t>
      </w:r>
      <w:r>
        <w:rPr>
          <w:rFonts w:hint="eastAsia" w:ascii="仿宋_GB2312" w:hAnsi="仿宋_GB2312" w:eastAsia="仿宋_GB2312" w:cs="Times New Roman"/>
          <w:color w:val="auto"/>
          <w:kern w:val="2"/>
          <w:sz w:val="32"/>
          <w:szCs w:val="24"/>
          <w:lang w:val="en-US" w:eastAsia="zh-CN" w:bidi="ar-SA"/>
        </w:rPr>
        <w:t xml:space="preserve"> 2.公务用车购置及运行维护费支出 10万元。其中：</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    （1）公务用车购置支出 0.00万元。本年度使用财政拨款购置公务用车0 辆，开支内容：本单位没有公务用车购置支出相。与上年决算相比，增加0.00万元，增长0%，变动原因：本单位没有公务用车购置支出。</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    （2）公务用车运行维护费支出 10万元。公务用车运行维护费主要用于按规定保留的公务用车的燃料费、维修费、过桥过路费、保险费、安全奖励费用等支出。截至2024年12月31日，使用财政拨款开支的公务用车保有量为2 辆。与上年决算相比，增加 0.23万元，增长 2.35%，变动原因：本年度公车出差次数变多，相应的公车用车运行维护加邮费支出增加。</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w:t>
      </w:r>
      <w:r>
        <w:rPr>
          <w:rFonts w:hint="eastAsia" w:ascii="仿宋_GB2312" w:hAnsi="仿宋_GB2312" w:eastAsia="仿宋_GB2312" w:cs="Times New Roman"/>
          <w:color w:val="auto"/>
          <w:kern w:val="2"/>
          <w:sz w:val="32"/>
          <w:szCs w:val="24"/>
          <w:lang w:val="en-US" w:eastAsia="zh-CN" w:bidi="ar-SA"/>
        </w:rPr>
        <w:t xml:space="preserve"> 3.公务接待费支出 1.42万元。其中：国内公务接待支出 1.42万元，接待11 批次，140 人次，开支内容：接待巡视巡察、考察调研、学习交流等公务活动支出；国（境）外公务接待支出 0.00万元，接待0 批次，0 人次，开支内容：：本单位无接待国（境）外人员。与上年决算相比，减少1.03万元，减少42.04%，变动原因：本年度接待巡视巡察、考察调研等次数减少，人数也相应减少，相应的费用支出减少。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spacing w:beforeLines="0" w:afterLines="0" w:line="560" w:lineRule="exact"/>
        <w:ind w:firstLine="640"/>
        <w:jc w:val="both"/>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Times New Roman"/>
          <w:color w:val="auto"/>
          <w:kern w:val="2"/>
          <w:sz w:val="32"/>
          <w:szCs w:val="24"/>
          <w:lang w:val="en-US" w:eastAsia="zh-CN" w:bidi="ar-SA"/>
        </w:rPr>
        <w:t>赤峰市水利局(本级） 2024年度政府性基金预算财政拨款支出决算 0.00万元。与上年决算相比，增加 0.00万元，增长0%，变动原因：本单位无政府性基金预算财政拨款收、支、余。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spacing w:beforeLines="0" w:afterLines="0" w:line="560" w:lineRule="exact"/>
        <w:ind w:firstLine="640"/>
        <w:jc w:val="both"/>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Times New Roman"/>
          <w:color w:val="auto"/>
          <w:kern w:val="2"/>
          <w:sz w:val="32"/>
          <w:szCs w:val="24"/>
          <w:lang w:val="en-US" w:eastAsia="zh-CN" w:bidi="ar-SA"/>
        </w:rPr>
        <w:t>赤峰市水利局(本级） 2024年度国有资本经营预算财政拨款支出决算 0.00万元。与上年决算相比，增加0.00万元，增长0%，变动原因：本单位无国有资本经营预算财政拨款收、支、余。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pPr>
        <w:widowControl/>
        <w:spacing w:before="240" w:after="240"/>
        <w:rPr>
          <w:rFonts w:ascii="Times New Roman" w:hAnsi="Times New Roman" w:eastAsia="Times New Roman" w:cs="Times New Roman"/>
          <w:color w:val="0000FF"/>
          <w:kern w:val="0"/>
          <w:sz w:val="24"/>
        </w:rPr>
      </w:pPr>
      <w:r>
        <w:rPr>
          <w:rFonts w:ascii="fang_song_gb2312" w:hAnsi="fang_song_gb2312" w:eastAsia="fang_song_gb2312" w:cs="fang_song_gb2312"/>
          <w:kern w:val="0"/>
          <w:sz w:val="27"/>
          <w:szCs w:val="27"/>
        </w:rPr>
        <w:t>   </w:t>
      </w:r>
      <w:r>
        <w:rPr>
          <w:rFonts w:hint="eastAsia" w:ascii="仿宋_GB2312" w:hAnsi="仿宋_GB2312" w:eastAsia="仿宋_GB2312" w:cs="Times New Roman"/>
          <w:color w:val="auto"/>
          <w:kern w:val="2"/>
          <w:sz w:val="32"/>
          <w:szCs w:val="24"/>
          <w:lang w:val="en-US" w:eastAsia="zh-CN" w:bidi="ar-SA"/>
        </w:rPr>
        <w:t xml:space="preserve"> 赤峰市水利局(本级） 2024年度机构运行经费支出决算 138.54万元。比上年决算相比，减少106.11万元，减少43.37%，变动原因：2024年度加大力度推进党政机关过紧日子要求，厉行节约、反对浪费，压减办公费、差旅费等一般性支出，减少了不必要的开支，从而节约了财政资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w:t>
      </w:r>
      <w:r>
        <w:rPr>
          <w:rFonts w:hint="eastAsia" w:ascii="仿宋_GB2312" w:hAnsi="仿宋_GB2312" w:eastAsia="仿宋_GB2312" w:cs="Times New Roman"/>
          <w:color w:val="auto"/>
          <w:kern w:val="2"/>
          <w:sz w:val="32"/>
          <w:szCs w:val="24"/>
          <w:lang w:val="en-US" w:eastAsia="zh-CN" w:bidi="ar-SA"/>
        </w:rPr>
        <w:t xml:space="preserve"> 赤峰市水利局(本级） 2024年度政府采购支出总额 321.33万元，其中：政府采购货物支出 2.87万元、政府采购工程支出 0.00万元、政府采购服务支出 318.46万元。政府采购授予中小企业合同金额243.12万元，占政府采购支出总额的78.21%，其中：授予小微企业合同金额  145.25万元，占政府采购支出总额的45.2%；货物采购授予中小企业合同金额占货物支出金额的100%，工程采购授予中小企业合同金额占工程支出金额的0%，服务采购授予中小企业合同金额占服务支出金额的76.34%。</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Times New Roman"/>
          <w:color w:val="auto"/>
          <w:kern w:val="2"/>
          <w:sz w:val="32"/>
          <w:szCs w:val="24"/>
          <w:lang w:val="en-US" w:eastAsia="zh-CN" w:bidi="ar-SA"/>
        </w:rPr>
        <w:t>  赤峰市水利局(本级） 截至2024年12月31日，本部门（单位）共有车辆 2辆，其中：副部（省）级及以上领导用车0 辆、主要负责人用车 0辆、机要通信用车 0辆、应急保障用车 1辆、执法执勤用车 0辆、特种专业技术用车 1辆、离退休干部服务用车 0辆，其他用车 0辆；单价100万元（含）以上的设备（不含车辆） 0台（套）。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ind w:firstLine="640" w:firstLineChars="20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赤峰市水利局(本级） 根据预算绩效管理要求组织对2024年一般公共预算项目支出全面开展绩效自评，其中一级项目45个，共涉及资金38756.9万元，占一般公共预算项目支出总额的100%；政府性基金预算项目0个，其中，一级项目0个，二级项目0个，共涉及资金0万元，占应纳入绩效自评的政府性基金预算项目支出总额的100%</w:t>
      </w:r>
    </w:p>
    <w:p>
      <w:pPr>
        <w:widowControl/>
        <w:spacing w:before="240" w:after="24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 本单位不涉及部门绩效评价。</w:t>
      </w:r>
    </w:p>
    <w:p>
      <w:pPr>
        <w:widowControl/>
        <w:spacing w:before="240" w:after="240"/>
        <w:ind w:firstLine="481"/>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pPr>
        <w:widowControl/>
        <w:spacing w:before="240" w:after="240"/>
        <w:ind w:firstLine="489"/>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赤峰市水利局（本级）2024年度在决算中反映45个一般公共预算项目，以及0个政府性基金项目， 共45个项目的绩效自评结果。</w:t>
      </w:r>
    </w:p>
    <w:p>
      <w:pPr>
        <w:widowControl/>
        <w:spacing w:before="240" w:after="240"/>
        <w:ind w:firstLine="489"/>
        <w:rPr>
          <w:rFonts w:hint="eastAsia" w:ascii="仿宋" w:hAnsi="仿宋" w:eastAsia="仿宋" w:cs="仿宋"/>
          <w:kern w:val="2"/>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山洪灾害防治项目重点集镇调查评价自评综述：根据年初设定的绩效目标，项目自评得分</w:t>
      </w:r>
      <w:r>
        <w:rPr>
          <w:rFonts w:hint="eastAsia" w:ascii="仿宋" w:hAnsi="仿宋" w:eastAsia="仿宋" w:cs="仿宋"/>
          <w:sz w:val="32"/>
          <w:szCs w:val="32"/>
          <w:lang w:val="en-US" w:eastAsia="zh-CN"/>
        </w:rPr>
        <w:t>100</w:t>
      </w:r>
      <w:r>
        <w:rPr>
          <w:rFonts w:hint="eastAsia" w:ascii="仿宋" w:hAnsi="仿宋" w:eastAsia="仿宋" w:cs="仿宋"/>
          <w:sz w:val="32"/>
          <w:szCs w:val="32"/>
        </w:rPr>
        <w:t>分。全年预算数为</w:t>
      </w:r>
      <w:r>
        <w:rPr>
          <w:rFonts w:hint="eastAsia" w:ascii="仿宋" w:hAnsi="仿宋" w:eastAsia="仿宋" w:cs="仿宋"/>
          <w:sz w:val="32"/>
          <w:szCs w:val="32"/>
          <w:lang w:val="en-US" w:eastAsia="zh-CN"/>
        </w:rPr>
        <w:t>121.33</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121.33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项目绩效目标完成情况：截至2024年底，该项目资金支出121.33万元，已经完成整理并提取重点城集镇涉水工程、自动监测站、简易监测预警设备、历史洪灾等基本情况；合理确定重点防洪区域（场镇）的危险区，调查重点城集镇内的危险区社会经济、企事业单位、涉水工程等基本情况，现场详查危险区内的人口、房屋，并开展重点城集镇所处河道控制断面测量工作，通过该项目实施，实现了群众生活稳定有所保障，可持续发挥作用1年以上效益。通过该项目的实施，有效提高了调查区山洪灾害预警精确度，进一步提升了山洪灾害防御水平。</w:t>
      </w:r>
    </w:p>
    <w:p>
      <w:pPr>
        <w:numPr>
          <w:ilvl w:val="0"/>
          <w:numId w:val="0"/>
        </w:numPr>
        <w:topLinePunct/>
        <w:spacing w:line="520" w:lineRule="exact"/>
        <w:ind w:firstLine="640" w:firstLineChars="200"/>
        <w:rPr>
          <w:rFonts w:hint="eastAsia" w:ascii="仿宋" w:hAnsi="仿宋" w:eastAsia="仿宋" w:cs="仿宋"/>
          <w:spacing w:val="1"/>
          <w:sz w:val="30"/>
          <w:szCs w:val="30"/>
          <w:lang w:eastAsia="zh-CN"/>
        </w:rPr>
      </w:pPr>
      <w:r>
        <w:rPr>
          <w:rFonts w:hint="eastAsia" w:ascii="仿宋" w:hAnsi="仿宋" w:eastAsia="仿宋" w:cs="仿宋"/>
          <w:kern w:val="2"/>
          <w:sz w:val="32"/>
          <w:szCs w:val="32"/>
        </w:rPr>
        <w:t>2.合同节水补助资金项目自评综述：根据年初设定的绩效目标，项目自评得分</w:t>
      </w:r>
      <w:r>
        <w:rPr>
          <w:rFonts w:hint="eastAsia" w:ascii="仿宋" w:hAnsi="仿宋" w:eastAsia="仿宋" w:cs="仿宋"/>
          <w:kern w:val="2"/>
          <w:sz w:val="32"/>
          <w:szCs w:val="32"/>
          <w:lang w:val="en-US" w:eastAsia="zh-CN"/>
        </w:rPr>
        <w:t>100</w:t>
      </w:r>
      <w:r>
        <w:rPr>
          <w:rFonts w:hint="eastAsia" w:ascii="仿宋" w:hAnsi="仿宋" w:eastAsia="仿宋" w:cs="仿宋"/>
          <w:kern w:val="2"/>
          <w:sz w:val="32"/>
          <w:szCs w:val="32"/>
        </w:rPr>
        <w:t>分。全年预算数为</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万元，执行数为</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万元，完成预算的</w:t>
      </w:r>
      <w:r>
        <w:rPr>
          <w:rFonts w:hint="eastAsia" w:ascii="仿宋" w:hAnsi="仿宋" w:eastAsia="仿宋" w:cs="仿宋"/>
          <w:kern w:val="2"/>
          <w:sz w:val="32"/>
          <w:szCs w:val="32"/>
          <w:lang w:val="en-US" w:eastAsia="zh-CN"/>
        </w:rPr>
        <w:t>100</w:t>
      </w:r>
      <w:r>
        <w:rPr>
          <w:rFonts w:hint="eastAsia" w:ascii="仿宋" w:hAnsi="仿宋" w:eastAsia="仿宋" w:cs="仿宋"/>
          <w:kern w:val="2"/>
          <w:sz w:val="32"/>
          <w:szCs w:val="32"/>
        </w:rPr>
        <w:t>%。项目绩效目标完成情况：截至2024年底，该项目资金支出</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万元，已经完成对赤峰铭仁医院和内蒙古伊品生物科技有限公司合同节水进行补</w:t>
      </w:r>
      <w:r>
        <w:rPr>
          <w:rFonts w:hint="eastAsia" w:ascii="仿宋" w:hAnsi="仿宋" w:eastAsia="仿宋" w:cs="仿宋"/>
          <w:kern w:val="2"/>
          <w:sz w:val="32"/>
          <w:szCs w:val="32"/>
          <w:lang w:eastAsia="zh-CN"/>
        </w:rPr>
        <w:t>助。通过该项目的实施，</w:t>
      </w:r>
      <w:r>
        <w:rPr>
          <w:rFonts w:hint="eastAsia" w:ascii="仿宋" w:hAnsi="仿宋" w:eastAsia="仿宋" w:cs="仿宋"/>
          <w:spacing w:val="1"/>
          <w:sz w:val="30"/>
          <w:szCs w:val="30"/>
          <w:lang w:eastAsia="zh-CN"/>
        </w:rPr>
        <w:t>对合同节水企业进行补助缓解了节水技术改造和设备更新的资金压力，鼓励企业加大节水投入，促使企业采用先进节水工艺和设备，优化用水流程，提高水资源利用效率。支持节水企业符合绿色低碳发展要求，推动经济向资源节约和环境友好转型，促进节水技术、装备和服务产业发展，形成新的经济增长点。鼓励企业节约用水，直接减少水资源消耗，缓解供需矛盾，推动企业提高用水效率，优化水资源配置，保障可持续发展。树立了行业标杆，带动更多企业参与节水行动。</w:t>
      </w:r>
    </w:p>
    <w:p>
      <w:pPr>
        <w:numPr>
          <w:ilvl w:val="0"/>
          <w:numId w:val="0"/>
        </w:numPr>
        <w:topLinePunct/>
        <w:spacing w:line="520" w:lineRule="exact"/>
        <w:ind w:firstLine="640" w:firstLineChars="200"/>
        <w:rPr>
          <w:rFonts w:hint="eastAsia"/>
          <w:color w:val="0000FF"/>
        </w:rPr>
      </w:pPr>
      <w:r>
        <w:rPr>
          <w:rFonts w:hint="eastAsia" w:ascii="仿宋" w:hAnsi="仿宋" w:eastAsia="仿宋" w:cs="仿宋"/>
          <w:kern w:val="2"/>
          <w:sz w:val="32"/>
          <w:szCs w:val="32"/>
          <w:lang w:val="en-US" w:eastAsia="zh-CN"/>
        </w:rPr>
        <w:t>3.赤峰市西辽河流域地下水-地表水转化关系与水资源管控项目编制项目自评综述：根据年初设定的绩效目标，项目自评得分99.2分。全年预算数为108.73万元，执行数为100.26万元，完成预算的92%。项目绩效目标完成情况：完成赤峰市西辽河流域地下水-地表水转化关系与水资源管控项目方案编制初稿审查，争取2025年年初印发。截至2024年底，该项目资金支出100.26万元，已经完成赤峰市西辽河流域地下水-地表水转化关系与水资源管控项目方案编制初稿审查工作，通过该项目实施，实现了</w:t>
      </w:r>
      <w:r>
        <w:rPr>
          <w:rFonts w:hint="default" w:ascii="仿宋" w:hAnsi="仿宋" w:eastAsia="仿宋" w:cs="仿宋"/>
          <w:kern w:val="2"/>
          <w:sz w:val="32"/>
          <w:szCs w:val="32"/>
          <w:lang w:val="en-US" w:eastAsia="zh-CN"/>
        </w:rPr>
        <w:t>厘清地表水与地下水动态转化条件下，赤峰市地下水资源储量及其变化趋势，并划定潜在战略储备水源地；明确“量水而行”地下水管控指标实现途径，加快推进内蒙古西辽河流域生态保护修复，为系统解决我市新老水问题、保障水安全提供</w:t>
      </w:r>
      <w:r>
        <w:rPr>
          <w:rFonts w:hint="eastAsia" w:ascii="仿宋" w:hAnsi="仿宋" w:eastAsia="仿宋" w:cs="仿宋"/>
          <w:kern w:val="2"/>
          <w:sz w:val="32"/>
          <w:szCs w:val="32"/>
          <w:lang w:val="en-US" w:eastAsia="zh-CN"/>
        </w:rPr>
        <w:t>了</w:t>
      </w:r>
      <w:r>
        <w:rPr>
          <w:rFonts w:hint="default" w:ascii="仿宋" w:hAnsi="仿宋" w:eastAsia="仿宋" w:cs="仿宋"/>
          <w:kern w:val="2"/>
          <w:sz w:val="32"/>
          <w:szCs w:val="32"/>
          <w:lang w:val="en-US" w:eastAsia="zh-CN"/>
        </w:rPr>
        <w:t>依据。</w:t>
      </w:r>
    </w:p>
    <w:p>
      <w:pPr>
        <w:keepNext w:val="0"/>
        <w:keepLines w:val="0"/>
        <w:widowControl/>
        <w:numPr>
          <w:ilvl w:val="0"/>
          <w:numId w:val="0"/>
        </w:numPr>
        <w:suppressLineNumbers w:val="0"/>
        <w:ind w:firstLine="640" w:firstLineChars="200"/>
        <w:jc w:val="left"/>
        <w:rPr>
          <w:rFonts w:hint="eastAsia" w:ascii="仿宋" w:hAnsi="仿宋" w:eastAsia="仿宋" w:cs="仿宋"/>
          <w:color w:val="auto"/>
          <w:spacing w:val="1"/>
          <w:sz w:val="30"/>
          <w:szCs w:val="30"/>
          <w:lang w:val="en-US" w:eastAsia="zh-CN"/>
        </w:rPr>
      </w:pPr>
      <w:r>
        <w:rPr>
          <w:rFonts w:hint="eastAsia" w:ascii="仿宋" w:hAnsi="仿宋" w:eastAsia="仿宋" w:cs="仿宋"/>
          <w:kern w:val="2"/>
          <w:sz w:val="32"/>
          <w:szCs w:val="32"/>
          <w:lang w:val="en-US" w:eastAsia="zh-CN"/>
        </w:rPr>
        <w:t>4.中心城区防洪及环城水系治理工程PPP项目可用性服务费项目自评综述：根据年初设定的绩效目标，项目自评得分100分。全年预算数为848.83万元，执行数为848.83万元，完成预算的100%。项目绩效目标完成情况：项目建设管理、运营和养护项目设施，是否处于良好的使用状态，河道月度运</w:t>
      </w:r>
      <w:r>
        <w:rPr>
          <w:rFonts w:hint="eastAsia" w:ascii="仿宋" w:hAnsi="仿宋" w:eastAsia="仿宋" w:cs="仿宋"/>
          <w:color w:val="auto"/>
          <w:spacing w:val="1"/>
          <w:sz w:val="30"/>
          <w:szCs w:val="30"/>
          <w:lang w:val="en-US" w:eastAsia="zh-CN"/>
        </w:rPr>
        <w:t>维质量能否满足《运营服务质量日常考核表》考核要求，建设项目能否达到预期目标，可用性服务费是否按照PPP项目合同约定执行，规避程序风险，保证合法合规，使</w:t>
      </w:r>
      <w:bookmarkStart w:id="1" w:name="_GoBack"/>
      <w:bookmarkEnd w:id="1"/>
      <w:r>
        <w:rPr>
          <w:rFonts w:hint="eastAsia" w:ascii="仿宋" w:hAnsi="仿宋" w:eastAsia="仿宋" w:cs="仿宋"/>
          <w:color w:val="auto"/>
          <w:spacing w:val="1"/>
          <w:sz w:val="30"/>
          <w:szCs w:val="30"/>
          <w:lang w:val="en-US" w:eastAsia="zh-CN"/>
        </w:rPr>
        <w:t>项目健康稳定运行。</w:t>
      </w:r>
    </w:p>
    <w:p>
      <w:pPr>
        <w:spacing w:line="620" w:lineRule="exact"/>
        <w:ind w:left="81" w:firstLine="640" w:firstLineChars="0"/>
        <w:rPr>
          <w:rFonts w:ascii="kai_ti_gb2312" w:hAnsi="kai_ti_gb2312" w:eastAsia="kai_ti_gb2312" w:cs="kai_ti_gb2312"/>
          <w:b/>
          <w:bCs/>
          <w:kern w:val="0"/>
          <w:sz w:val="27"/>
          <w:szCs w:val="27"/>
        </w:rPr>
      </w:pPr>
      <w:r>
        <w:rPr>
          <w:rFonts w:hint="eastAsia" w:ascii="仿宋" w:hAnsi="仿宋" w:eastAsia="仿宋" w:cs="仿宋"/>
          <w:kern w:val="2"/>
          <w:sz w:val="32"/>
          <w:szCs w:val="32"/>
          <w:lang w:val="en-US" w:eastAsia="zh-CN"/>
        </w:rPr>
        <w:t>5.三座店水利枢纽中心城区引供水PPP项目绩效考核水质检测项目自评综述：根据年初设定的绩效目标，项目自评得分99.9分。全年预算数为9.31万元，执行数为9.26万元，完成预算的99%。项目绩效目标完成情况：</w:t>
      </w:r>
      <w:r>
        <w:rPr>
          <w:rFonts w:hint="eastAsia" w:ascii="Times New Roman Regular" w:hAnsi="Times New Roman Regular" w:eastAsia="仿宋" w:cs="Times New Roman Regular"/>
          <w:sz w:val="32"/>
          <w:szCs w:val="32"/>
        </w:rPr>
        <w:t>截止2024年底，项目资金支出9.26万元，完成2024年度1-4月份水质检测工作，</w:t>
      </w:r>
      <w:r>
        <w:rPr>
          <w:rFonts w:hint="eastAsia" w:ascii="仿宋" w:hAnsi="仿宋" w:eastAsia="仿宋" w:cs="仿宋"/>
          <w:sz w:val="32"/>
          <w:szCs w:val="32"/>
        </w:rPr>
        <w:t>所有检测结果均符合国家相关水质标准，</w:t>
      </w:r>
      <w:r>
        <w:rPr>
          <w:rFonts w:ascii="仿宋" w:hAnsi="仿宋" w:eastAsia="仿宋" w:cs="仿宋"/>
          <w:sz w:val="32"/>
          <w:szCs w:val="32"/>
        </w:rPr>
        <w:t>保障</w:t>
      </w:r>
      <w:r>
        <w:rPr>
          <w:rFonts w:hint="eastAsia" w:ascii="仿宋" w:hAnsi="仿宋" w:eastAsia="仿宋" w:cs="仿宋"/>
          <w:sz w:val="32"/>
          <w:szCs w:val="32"/>
        </w:rPr>
        <w:t>了</w:t>
      </w:r>
      <w:r>
        <w:rPr>
          <w:rFonts w:ascii="仿宋" w:hAnsi="仿宋" w:eastAsia="仿宋" w:cs="仿宋"/>
          <w:sz w:val="32"/>
          <w:szCs w:val="32"/>
        </w:rPr>
        <w:t>下游终端企业用水安全</w:t>
      </w:r>
      <w:r>
        <w:rPr>
          <w:rFonts w:hint="eastAsia" w:ascii="仿宋" w:hAnsi="仿宋" w:eastAsia="仿宋" w:cs="仿宋"/>
          <w:sz w:val="32"/>
          <w:szCs w:val="32"/>
        </w:rPr>
        <w:t>，实现了对项目公司的有效监管，符合全额支付水费条件。</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（三）部门（单位）项目绩效评价结果。</w:t>
      </w:r>
    </w:p>
    <w:p>
      <w:pPr>
        <w:spacing w:beforeLines="0" w:afterLines="0" w:line="560" w:lineRule="exact"/>
        <w:ind w:firstLine="640"/>
        <w:jc w:val="both"/>
        <w:rPr>
          <w:rFonts w:ascii="fang_zheng_xiao_biao_song_ti" w:hAnsi="fang_zheng_xiao_biao_song_ti" w:eastAsia="fang_zheng_xiao_biao_song_ti" w:cs="fang_zheng_xiao_biao_song_ti"/>
          <w:kern w:val="0"/>
          <w:sz w:val="36"/>
          <w:szCs w:val="36"/>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olor w:val="auto"/>
          <w:kern w:val="2"/>
          <w:sz w:val="32"/>
          <w:szCs w:val="24"/>
          <w:lang w:eastAsia="zh-CN"/>
        </w:rPr>
        <w:t>本单位不涉及部门绩效评价。</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ind w:firstLine="481"/>
        <w:jc w:val="left"/>
      </w:pPr>
      <w:r>
        <w:rPr>
          <w:rFonts w:ascii="fang_song_gb2312" w:hAnsi="fang_song_gb2312" w:eastAsia="fang_song_gb2312" w:cs="fang_song_gb2312"/>
          <w:b/>
          <w:bCs/>
          <w:kern w:val="0"/>
          <w:sz w:val="27"/>
          <w:szCs w:val="27"/>
        </w:rPr>
        <w:t>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ind w:firstLine="481"/>
        <w:jc w:val="left"/>
        <w:rPr>
          <w:rFonts w:hint="eastAsia" w:ascii="宋体" w:hAnsi="宋体" w:eastAsia="宋体" w:cs="宋体"/>
          <w:kern w:val="0"/>
          <w:sz w:val="27"/>
          <w:szCs w:val="27"/>
        </w:rPr>
      </w:pPr>
      <w:r>
        <w:rPr>
          <w:rFonts w:ascii="fang_song_gb2312" w:hAnsi="fang_song_gb2312" w:eastAsia="fang_song_gb2312" w:cs="fang_song_gb2312"/>
          <w:kern w:val="0"/>
          <w:sz w:val="27"/>
          <w:szCs w:val="27"/>
        </w:rPr>
        <w:t>联系人：</w:t>
      </w:r>
      <w:r>
        <w:rPr>
          <w:rFonts w:ascii="fang_song_gb2312" w:hAnsi="fang_song_gb2312" w:eastAsia="fang_song_gb2312" w:cs="fang_song_gb2312"/>
          <w:kern w:val="0"/>
          <w:sz w:val="27"/>
          <w:szCs w:val="27"/>
          <w:u w:val="single"/>
        </w:rPr>
        <w:t xml:space="preserve">杨丽娟 </w:t>
      </w:r>
      <w:r>
        <w:rPr>
          <w:rFonts w:ascii="fang_song_gb2312" w:hAnsi="fang_song_gb2312" w:eastAsia="fang_song_gb2312" w:cs="fang_song_gb2312"/>
          <w:kern w:val="0"/>
          <w:sz w:val="27"/>
          <w:szCs w:val="27"/>
        </w:rPr>
        <w:t>          联系电话：</w:t>
      </w:r>
      <w:r>
        <w:rPr>
          <w:rFonts w:hint="eastAsia" w:ascii="宋体" w:hAnsi="宋体" w:eastAsia="宋体" w:cs="宋体"/>
          <w:kern w:val="0"/>
          <w:sz w:val="27"/>
          <w:szCs w:val="27"/>
        </w:rPr>
        <w:t>0476-8331371</w:t>
      </w:r>
    </w:p>
    <w:p>
      <w:pPr>
        <w:pStyle w:val="3"/>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ind w:firstLine="540" w:firstLineChars="200"/>
        <w:jc w:val="left"/>
        <w:rPr>
          <w:rFonts w:ascii="宋体" w:hAnsi="宋体"/>
          <w:b/>
          <w:sz w:val="32"/>
          <w:szCs w:val="32"/>
        </w:rPr>
      </w:pPr>
      <w:r>
        <w:rPr>
          <w:rFonts w:ascii="fang_song_gb2312" w:hAnsi="fang_song_gb2312" w:eastAsia="fang_song_gb2312" w:cs="fang_song_gb2312"/>
          <w:kern w:val="0"/>
          <w:sz w:val="27"/>
          <w:szCs w:val="27"/>
        </w:rPr>
        <w:t>见附件。</w:t>
      </w:r>
      <w:bookmarkEnd w:id="0"/>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2FF" w:usb1="4000045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24</w:t>
    </w:r>
    <w:r>
      <w:rPr>
        <w:lang w:val="zh-CN"/>
      </w:rP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969A9"/>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3510F"/>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231F4"/>
    <w:rsid w:val="00D96390"/>
    <w:rsid w:val="00E219E7"/>
    <w:rsid w:val="00E60D6A"/>
    <w:rsid w:val="00E73321"/>
    <w:rsid w:val="00E77EC0"/>
    <w:rsid w:val="00E914C1"/>
    <w:rsid w:val="00E97C37"/>
    <w:rsid w:val="00EE533B"/>
    <w:rsid w:val="00F04882"/>
    <w:rsid w:val="00F63327"/>
    <w:rsid w:val="00F80A29"/>
    <w:rsid w:val="00FA7CA5"/>
    <w:rsid w:val="00FD08EC"/>
    <w:rsid w:val="00FD7690"/>
    <w:rsid w:val="01EE7C08"/>
    <w:rsid w:val="046F071C"/>
    <w:rsid w:val="05A14949"/>
    <w:rsid w:val="066E4B6F"/>
    <w:rsid w:val="06BD4F38"/>
    <w:rsid w:val="0870581B"/>
    <w:rsid w:val="08B267FA"/>
    <w:rsid w:val="09505127"/>
    <w:rsid w:val="09C94CE0"/>
    <w:rsid w:val="0BE0193B"/>
    <w:rsid w:val="0CBC1331"/>
    <w:rsid w:val="0D7E3572"/>
    <w:rsid w:val="10195030"/>
    <w:rsid w:val="124308F3"/>
    <w:rsid w:val="14E10AA0"/>
    <w:rsid w:val="177A01D0"/>
    <w:rsid w:val="179C67B6"/>
    <w:rsid w:val="18843E8E"/>
    <w:rsid w:val="1B9832A6"/>
    <w:rsid w:val="21B831FF"/>
    <w:rsid w:val="21CE7F46"/>
    <w:rsid w:val="23CD44E8"/>
    <w:rsid w:val="24F83CA6"/>
    <w:rsid w:val="26347D90"/>
    <w:rsid w:val="2D4A18E7"/>
    <w:rsid w:val="33BC6189"/>
    <w:rsid w:val="351E2ED4"/>
    <w:rsid w:val="35DA55EF"/>
    <w:rsid w:val="3677744F"/>
    <w:rsid w:val="386748F1"/>
    <w:rsid w:val="3E36039B"/>
    <w:rsid w:val="400A2F20"/>
    <w:rsid w:val="44C20636"/>
    <w:rsid w:val="44C87ADB"/>
    <w:rsid w:val="45833BDF"/>
    <w:rsid w:val="46434C04"/>
    <w:rsid w:val="46C132FF"/>
    <w:rsid w:val="46DE1D6D"/>
    <w:rsid w:val="480F19A9"/>
    <w:rsid w:val="4DAE5652"/>
    <w:rsid w:val="504F52BD"/>
    <w:rsid w:val="517C5A71"/>
    <w:rsid w:val="51E46012"/>
    <w:rsid w:val="52E249E5"/>
    <w:rsid w:val="55286EFF"/>
    <w:rsid w:val="59101751"/>
    <w:rsid w:val="59182AC8"/>
    <w:rsid w:val="5A856486"/>
    <w:rsid w:val="5C3828A3"/>
    <w:rsid w:val="5C976ED1"/>
    <w:rsid w:val="5DAB26DF"/>
    <w:rsid w:val="5E8013F2"/>
    <w:rsid w:val="5F2E6546"/>
    <w:rsid w:val="65B122FC"/>
    <w:rsid w:val="6C122F6D"/>
    <w:rsid w:val="6E9A3FC6"/>
    <w:rsid w:val="749F22FB"/>
    <w:rsid w:val="75865A45"/>
    <w:rsid w:val="769C5D5F"/>
    <w:rsid w:val="77DD7DEA"/>
    <w:rsid w:val="796F41FB"/>
    <w:rsid w:val="7D1646EC"/>
    <w:rsid w:val="7EBA6279"/>
    <w:rsid w:val="E7B5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3"/>
    <w:qFormat/>
    <w:uiPriority w:val="0"/>
    <w:pPr>
      <w:keepNext/>
      <w:keepLines/>
      <w:spacing w:before="260" w:after="260" w:line="416" w:lineRule="auto"/>
      <w:outlineLvl w:val="2"/>
    </w:pPr>
    <w:rPr>
      <w:b/>
      <w:bCs/>
      <w:sz w:val="32"/>
      <w:szCs w:val="32"/>
    </w:rPr>
  </w:style>
  <w:style w:type="paragraph" w:styleId="7">
    <w:name w:val="heading 4"/>
    <w:basedOn w:val="1"/>
    <w:next w:val="1"/>
    <w:link w:val="28"/>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99"/>
    <w:pPr>
      <w:spacing w:after="120" w:line="480" w:lineRule="auto"/>
    </w:p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Body Text Indent"/>
    <w:basedOn w:val="1"/>
    <w:unhideWhenUsed/>
    <w:qFormat/>
    <w:uiPriority w:val="99"/>
    <w:pPr>
      <w:spacing w:after="120"/>
      <w:ind w:left="420" w:leftChars="200"/>
    </w:pPr>
    <w:rPr>
      <w:rFonts w:hint="default"/>
      <w:sz w:val="24"/>
      <w:szCs w:val="24"/>
    </w:r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qFormat/>
    <w:uiPriority w:val="0"/>
    <w:pPr>
      <w:ind w:left="1470"/>
      <w:jc w:val="left"/>
    </w:pPr>
    <w:rPr>
      <w:sz w:val="20"/>
      <w:szCs w:val="20"/>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snapToGrid w:val="0"/>
      <w:spacing w:line="360" w:lineRule="auto"/>
      <w:jc w:val="left"/>
    </w:pPr>
    <w:rPr>
      <w:b/>
      <w:bCs/>
      <w:sz w:val="24"/>
      <w:szCs w:val="20"/>
    </w:rPr>
  </w:style>
  <w:style w:type="paragraph" w:styleId="17">
    <w:name w:val="toc 4"/>
    <w:basedOn w:val="1"/>
    <w:next w:val="1"/>
    <w:qFormat/>
    <w:uiPriority w:val="0"/>
    <w:pPr>
      <w:ind w:left="630"/>
      <w:jc w:val="left"/>
    </w:pPr>
    <w:rPr>
      <w:sz w:val="20"/>
      <w:szCs w:val="20"/>
    </w:rPr>
  </w:style>
  <w:style w:type="paragraph" w:styleId="18">
    <w:name w:val="toc 6"/>
    <w:basedOn w:val="1"/>
    <w:next w:val="1"/>
    <w:qFormat/>
    <w:uiPriority w:val="0"/>
    <w:pPr>
      <w:ind w:left="1050"/>
      <w:jc w:val="left"/>
    </w:pPr>
    <w:rPr>
      <w:sz w:val="20"/>
      <w:szCs w:val="20"/>
    </w:rPr>
  </w:style>
  <w:style w:type="paragraph" w:styleId="19">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0">
    <w:name w:val="toc 9"/>
    <w:basedOn w:val="1"/>
    <w:next w:val="1"/>
    <w:qFormat/>
    <w:uiPriority w:val="0"/>
    <w:pPr>
      <w:ind w:left="1680"/>
      <w:jc w:val="left"/>
    </w:pPr>
    <w:rPr>
      <w:sz w:val="20"/>
      <w:szCs w:val="20"/>
    </w:rPr>
  </w:style>
  <w:style w:type="paragraph" w:styleId="21">
    <w:name w:val="HTML Preformatted"/>
    <w:basedOn w:val="1"/>
    <w:qFormat/>
    <w:uiPriority w:val="0"/>
    <w:rPr>
      <w:rFonts w:ascii="Courier New" w:hAnsi="Courier New"/>
      <w:sz w:val="20"/>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2"/>
    <w:basedOn w:val="10"/>
    <w:unhideWhenUsed/>
    <w:qFormat/>
    <w:uiPriority w:val="99"/>
    <w:pPr>
      <w:autoSpaceDE/>
      <w:autoSpaceDN/>
      <w:adjustRightInd/>
      <w:ind w:firstLine="420"/>
    </w:pPr>
    <w:rPr>
      <w:rFonts w:hint="eastAsia" w:ascii="宋体" w:hAnsi="宋体" w:eastAsia="宋体"/>
      <w:sz w:val="24"/>
      <w:szCs w:val="24"/>
    </w:r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customStyle="1" w:styleId="28">
    <w:name w:val="标题 4 字符"/>
    <w:basedOn w:val="25"/>
    <w:link w:val="7"/>
    <w:qFormat/>
    <w:uiPriority w:val="0"/>
    <w:rPr>
      <w:rFonts w:ascii="Cambria" w:hAnsi="Cambria"/>
      <w:b/>
      <w:bCs/>
      <w:kern w:val="2"/>
      <w:sz w:val="28"/>
      <w:szCs w:val="28"/>
    </w:rPr>
  </w:style>
  <w:style w:type="paragraph" w:styleId="29">
    <w:name w:val="No Spacing"/>
    <w:link w:val="30"/>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30">
    <w:name w:val="无间隔 字符"/>
    <w:link w:val="29"/>
    <w:qFormat/>
    <w:locked/>
    <w:uiPriority w:val="0"/>
    <w:rPr>
      <w:rFonts w:eastAsia="仿宋_GB2312"/>
      <w:sz w:val="30"/>
      <w:szCs w:val="22"/>
      <w:lang w:bidi="ar-SA"/>
    </w:rPr>
  </w:style>
  <w:style w:type="character" w:customStyle="1" w:styleId="31">
    <w:name w:val="页脚 字符"/>
    <w:basedOn w:val="25"/>
    <w:link w:val="14"/>
    <w:qFormat/>
    <w:uiPriority w:val="0"/>
    <w:rPr>
      <w:kern w:val="2"/>
      <w:sz w:val="18"/>
      <w:szCs w:val="18"/>
    </w:rPr>
  </w:style>
  <w:style w:type="paragraph" w:styleId="32">
    <w:name w:val="List Paragraph"/>
    <w:basedOn w:val="1"/>
    <w:qFormat/>
    <w:uiPriority w:val="0"/>
    <w:pPr>
      <w:ind w:firstLine="420" w:firstLineChars="200"/>
    </w:pPr>
  </w:style>
  <w:style w:type="character" w:customStyle="1" w:styleId="33">
    <w:name w:val="标题 3 字符"/>
    <w:basedOn w:val="25"/>
    <w:link w:val="6"/>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a:t>
            </a:r>
          </a:p>
        </c:rich>
      </c:tx>
      <c:layout>
        <c:manualLayout>
          <c:xMode val="edge"/>
          <c:yMode val="edge"/>
          <c:x val="0.399722222222222"/>
          <c:y val="0.0074404761904761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66</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98.</a:t>
                    </a:r>
                    <a:r>
                      <a:rPr lang="en-US" altLang="zh-CN"/>
                      <a:t>34</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工作表.xls]Sheet1'!$F$16:$F$17</c:f>
              <c:strCache>
                <c:ptCount val="2"/>
                <c:pt idx="0">
                  <c:v>本年度基本支出</c:v>
                </c:pt>
                <c:pt idx="1">
                  <c:v>本年度项目支出</c:v>
                </c:pt>
              </c:strCache>
            </c:strRef>
          </c:cat>
          <c:val>
            <c:numRef>
              <c:f>'[新建 XLS 工作表.xls]Sheet1'!$G$16:$G$17</c:f>
              <c:numCache>
                <c:formatCode>0.00%</c:formatCode>
                <c:ptCount val="2"/>
                <c:pt idx="0">
                  <c:v>0.0152</c:v>
                </c:pt>
                <c:pt idx="1">
                  <c:v>0.9848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24</Pages>
  <Words>22</Words>
  <Characters>130</Characters>
  <Lines>1</Lines>
  <Paragraphs>1</Paragraphs>
  <TotalTime>7</TotalTime>
  <ScaleCrop>false</ScaleCrop>
  <LinksUpToDate>false</LinksUpToDate>
  <CharactersWithSpaces>151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水利局</cp:lastModifiedBy>
  <cp:lastPrinted>2021-04-16T08:45:00Z</cp:lastPrinted>
  <dcterms:modified xsi:type="dcterms:W3CDTF">2025-07-21T16:32:47Z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41789F19254641E5A8ED611E7E08165D</vt:lpwstr>
  </property>
</Properties>
</file>